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7C2CCD"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6A759E16" wp14:editId="3D3EAD1A">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7C2CCD">
                            <w:r>
                              <w:rPr>
                                <w:noProof/>
                                <w:lang w:eastAsia="en-GB"/>
                              </w:rPr>
                              <w:drawing>
                                <wp:inline distT="0" distB="0" distL="0" distR="0" wp14:anchorId="5D56FD92" wp14:editId="6D4AB03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M8g0En0CAAAN&#10;BQAADgAAAAAAAAAAAAAAAAAuAgAAZHJzL2Uyb0RvYy54bWxQSwECLQAUAAYACAAAACEAo0zQ8d4A&#10;AAAJAQAADwAAAAAAAAAAAAAAAADXBAAAZHJzL2Rvd25yZXYueG1sUEsFBgAAAAAEAAQA8wAAAOIF&#10;AAAAAA==&#10;" stroked="f" strokeweight="0">
                <v:textbox style="mso-fit-shape-to-text:t">
                  <w:txbxContent>
                    <w:p w:rsidR="0091176F" w:rsidRDefault="007C2CCD">
                      <w:r>
                        <w:rPr>
                          <w:noProof/>
                          <w:lang w:eastAsia="en-GB"/>
                        </w:rPr>
                        <w:drawing>
                          <wp:inline distT="0" distB="0" distL="0" distR="0" wp14:anchorId="5D56FD92" wp14:editId="6D4AB03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E12E9">
        <w:rPr>
          <w:rFonts w:cs="Arial"/>
          <w:b/>
          <w:bCs/>
        </w:rPr>
        <w:t>City Executive Board</w:t>
      </w:r>
      <w:r>
        <w:rPr>
          <w:rFonts w:cs="Arial"/>
          <w:b/>
          <w:bCs/>
        </w:rPr>
        <w:tab/>
      </w:r>
      <w:r>
        <w:rPr>
          <w:rFonts w:cs="Arial"/>
          <w:b/>
          <w:bCs/>
        </w:rPr>
        <w:tab/>
      </w:r>
      <w:r>
        <w:rPr>
          <w:rFonts w:cs="Arial"/>
          <w:b/>
          <w:bCs/>
        </w:rPr>
        <w:tab/>
      </w:r>
      <w:r>
        <w:rPr>
          <w:rFonts w:cs="Arial"/>
          <w:b/>
          <w:bCs/>
        </w:rPr>
        <w:tab/>
      </w:r>
    </w:p>
    <w:p w:rsidR="005D4C4D" w:rsidRDefault="005D4C4D" w:rsidP="005D4C4D">
      <w:pPr>
        <w:tabs>
          <w:tab w:val="left" w:pos="2160"/>
          <w:tab w:val="left" w:pos="6300"/>
          <w:tab w:val="left" w:pos="7380"/>
        </w:tabs>
        <w:rPr>
          <w:rFonts w:cs="Arial"/>
          <w:b/>
          <w:bCs/>
        </w:rPr>
      </w:pPr>
      <w:r>
        <w:rPr>
          <w:rFonts w:cs="Arial"/>
          <w:b/>
          <w:bCs/>
        </w:rPr>
        <w:t>Date:</w:t>
      </w:r>
      <w:r>
        <w:rPr>
          <w:rFonts w:cs="Arial"/>
          <w:b/>
          <w:bCs/>
        </w:rPr>
        <w:tab/>
      </w:r>
      <w:r w:rsidR="009F2D09">
        <w:rPr>
          <w:rFonts w:cs="Arial"/>
          <w:b/>
          <w:bCs/>
        </w:rPr>
        <w:t xml:space="preserve">9 </w:t>
      </w:r>
      <w:r w:rsidR="0091176F">
        <w:rPr>
          <w:rFonts w:cs="Arial"/>
          <w:b/>
          <w:bCs/>
        </w:rPr>
        <w:t>July 201</w:t>
      </w:r>
      <w:r w:rsidR="009F2D09">
        <w:rPr>
          <w:rFonts w:cs="Arial"/>
          <w:b/>
          <w:bCs/>
        </w:rPr>
        <w:t>5</w:t>
      </w:r>
      <w:r>
        <w:rPr>
          <w:rFonts w:cs="Arial"/>
          <w:b/>
          <w:bCs/>
        </w:rPr>
        <w:tab/>
      </w:r>
      <w:r>
        <w:rPr>
          <w:rFonts w:cs="Arial"/>
          <w:b/>
          <w:bCs/>
        </w:rPr>
        <w:tab/>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9F2D09">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4331BA">
        <w:rPr>
          <w:rFonts w:cs="Arial"/>
          <w:b/>
          <w:bCs/>
        </w:rPr>
        <w:t>I</w:t>
      </w:r>
      <w:r w:rsidR="0091176F">
        <w:rPr>
          <w:rFonts w:cs="Arial"/>
          <w:b/>
          <w:bCs/>
        </w:rPr>
        <w:t>NTEGRATED</w:t>
      </w:r>
      <w:r w:rsidR="004331BA">
        <w:rPr>
          <w:rFonts w:cs="Arial"/>
          <w:b/>
          <w:bCs/>
        </w:rPr>
        <w:t xml:space="preserve"> </w:t>
      </w:r>
      <w:r w:rsidR="00AF08EC">
        <w:rPr>
          <w:rFonts w:cs="Arial"/>
          <w:b/>
          <w:bCs/>
        </w:rPr>
        <w:t>PERFORMANCE REPORT FOR -QUARTER 4</w:t>
      </w:r>
      <w:r w:rsidR="004331BA">
        <w:rPr>
          <w:rFonts w:cs="Arial"/>
          <w:b/>
          <w:bCs/>
        </w:rPr>
        <w:t xml:space="preserve"> </w:t>
      </w:r>
      <w:r w:rsidR="009E34F6">
        <w:rPr>
          <w:rFonts w:cs="Arial"/>
          <w:b/>
          <w:bCs/>
        </w:rPr>
        <w:t>201</w:t>
      </w:r>
      <w:r w:rsidR="009F2D09">
        <w:rPr>
          <w:rFonts w:cs="Arial"/>
          <w:b/>
          <w:bCs/>
        </w:rPr>
        <w:t>4</w:t>
      </w:r>
      <w:r w:rsidR="005F174D">
        <w:rPr>
          <w:rFonts w:cs="Arial"/>
          <w:b/>
          <w:bCs/>
        </w:rPr>
        <w:t>/</w:t>
      </w:r>
      <w:r w:rsidR="009E34F6">
        <w:rPr>
          <w:rFonts w:cs="Arial"/>
          <w:b/>
          <w:bCs/>
        </w:rPr>
        <w:t>201</w:t>
      </w:r>
      <w:r w:rsidR="009F2D09">
        <w:rPr>
          <w:rFonts w:cs="Arial"/>
          <w:b/>
          <w:bCs/>
        </w:rPr>
        <w:t>5</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5D4C4D">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1D1A03">
        <w:rPr>
          <w:rFonts w:cs="Arial"/>
        </w:rPr>
        <w:t xml:space="preserve">:  To </w:t>
      </w:r>
      <w:r w:rsidR="00527607">
        <w:rPr>
          <w:rFonts w:cs="Arial"/>
        </w:rPr>
        <w:t xml:space="preserve">update </w:t>
      </w:r>
      <w:r w:rsidR="00413E26">
        <w:rPr>
          <w:rFonts w:cs="Arial"/>
        </w:rPr>
        <w:t>M</w:t>
      </w:r>
      <w:r w:rsidR="00AE12E9">
        <w:rPr>
          <w:rFonts w:cs="Arial"/>
        </w:rPr>
        <w:t>embers</w:t>
      </w:r>
      <w:r w:rsidR="00527607">
        <w:rPr>
          <w:rFonts w:cs="Arial"/>
        </w:rPr>
        <w:t xml:space="preserve"> on </w:t>
      </w:r>
      <w:r w:rsidR="004331BA">
        <w:rPr>
          <w:rFonts w:cs="Arial"/>
        </w:rPr>
        <w:t>Finance, Risk and Performance</w:t>
      </w:r>
      <w:r w:rsidR="009E34F6">
        <w:rPr>
          <w:rFonts w:cs="Arial"/>
        </w:rPr>
        <w:t xml:space="preserve"> as at the end of </w:t>
      </w:r>
      <w:r w:rsidR="00687F6F">
        <w:rPr>
          <w:rFonts w:cs="Arial"/>
        </w:rPr>
        <w:t>Q</w:t>
      </w:r>
      <w:r w:rsidR="009E34F6">
        <w:rPr>
          <w:rFonts w:cs="Arial"/>
        </w:rPr>
        <w:t xml:space="preserve">uarter </w:t>
      </w:r>
      <w:r w:rsidR="00BB77BA">
        <w:rPr>
          <w:rFonts w:cs="Arial"/>
        </w:rPr>
        <w:t>4</w:t>
      </w:r>
      <w:r w:rsidR="009E34F6">
        <w:rPr>
          <w:rFonts w:cs="Arial"/>
        </w:rPr>
        <w:t>,</w:t>
      </w:r>
      <w:r w:rsidR="008346CA">
        <w:rPr>
          <w:rFonts w:cs="Arial"/>
        </w:rPr>
        <w:t xml:space="preserve"> 31</w:t>
      </w:r>
      <w:r w:rsidR="008346CA">
        <w:rPr>
          <w:rFonts w:cs="Arial"/>
          <w:vertAlign w:val="superscript"/>
        </w:rPr>
        <w:t>st</w:t>
      </w:r>
      <w:r w:rsidR="00E30D73">
        <w:rPr>
          <w:rFonts w:cs="Arial"/>
        </w:rPr>
        <w:t xml:space="preserve"> </w:t>
      </w:r>
      <w:r w:rsidR="00BB77BA">
        <w:rPr>
          <w:rFonts w:cs="Arial"/>
        </w:rPr>
        <w:t>March 201</w:t>
      </w:r>
      <w:r w:rsidR="009F2D09">
        <w:rPr>
          <w:rFonts w:cs="Arial"/>
        </w:rPr>
        <w:t>5</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AC4B4B">
        <w:rPr>
          <w:bCs w:val="0"/>
        </w:rPr>
        <w:t xml:space="preserve">: </w:t>
      </w:r>
      <w:r w:rsidR="00DE11B2">
        <w:rPr>
          <w:bCs w:val="0"/>
        </w:rPr>
        <w:t xml:space="preserve"> 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5D4C4D">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5D4C4D">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D768F6">
        <w:rPr>
          <w:rFonts w:cs="Arial"/>
          <w:b/>
          <w:bCs/>
        </w:rPr>
        <w:t xml:space="preserve">Corporate Plan Priority - </w:t>
      </w:r>
      <w:r>
        <w:rPr>
          <w:rFonts w:cs="Arial"/>
          <w:b/>
          <w:bCs/>
        </w:rPr>
        <w:t>Improving value for money and service performance</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0C5DA1" w:rsidP="005D4C4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p>
    <w:p w:rsidR="005F174D" w:rsidRDefault="005F174D" w:rsidP="005D4C4D">
      <w:pPr>
        <w:pBdr>
          <w:top w:val="single" w:sz="4" w:space="1" w:color="auto"/>
          <w:left w:val="single" w:sz="4" w:space="4" w:color="auto"/>
          <w:bottom w:val="single" w:sz="4" w:space="1" w:color="auto"/>
          <w:right w:val="single" w:sz="4" w:space="4" w:color="auto"/>
        </w:pBdr>
        <w:tabs>
          <w:tab w:val="left" w:pos="3048"/>
        </w:tabs>
        <w:rPr>
          <w:rFonts w:cs="Arial"/>
          <w:b/>
        </w:rPr>
      </w:pPr>
    </w:p>
    <w:p w:rsidR="00CE3DFC" w:rsidRDefault="00AC4B4B" w:rsidP="005D4C4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The City Executive Board</w:t>
      </w:r>
      <w:r w:rsidR="001B71A6">
        <w:rPr>
          <w:rFonts w:cs="Arial"/>
          <w:b/>
        </w:rPr>
        <w:t xml:space="preserve"> </w:t>
      </w:r>
      <w:r w:rsidR="003B7B73">
        <w:rPr>
          <w:rFonts w:cs="Arial"/>
          <w:b/>
        </w:rPr>
        <w:t>is</w:t>
      </w:r>
      <w:r w:rsidR="002730E7">
        <w:rPr>
          <w:rFonts w:cs="Arial"/>
          <w:b/>
        </w:rPr>
        <w:t xml:space="preserve"> </w:t>
      </w:r>
      <w:r w:rsidR="0069250F">
        <w:rPr>
          <w:rFonts w:cs="Arial"/>
          <w:b/>
        </w:rPr>
        <w:t>requested to:</w:t>
      </w:r>
    </w:p>
    <w:p w:rsidR="001D1A03" w:rsidRPr="009E0AFD" w:rsidRDefault="0069250F" w:rsidP="009E0AFD">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9E0AFD">
        <w:rPr>
          <w:rFonts w:cs="Arial"/>
        </w:rPr>
        <w:t>N</w:t>
      </w:r>
      <w:r w:rsidR="004B77FC" w:rsidRPr="009E0AFD">
        <w:rPr>
          <w:rFonts w:cs="Arial"/>
        </w:rPr>
        <w:t xml:space="preserve">ote the financial </w:t>
      </w:r>
      <w:r w:rsidR="00BB77BA" w:rsidRPr="009E0AFD">
        <w:rPr>
          <w:rFonts w:cs="Arial"/>
        </w:rPr>
        <w:t>outturn</w:t>
      </w:r>
      <w:r w:rsidR="004B77FC" w:rsidRPr="009E0AFD">
        <w:rPr>
          <w:rFonts w:cs="Arial"/>
        </w:rPr>
        <w:t xml:space="preserve"> </w:t>
      </w:r>
      <w:r w:rsidRPr="009E0AFD">
        <w:rPr>
          <w:rFonts w:cs="Arial"/>
        </w:rPr>
        <w:t>and performance</w:t>
      </w:r>
      <w:r w:rsidR="004B77FC" w:rsidRPr="009E0AFD">
        <w:rPr>
          <w:rFonts w:cs="Arial"/>
        </w:rPr>
        <w:t xml:space="preserve"> of the Council for the </w:t>
      </w:r>
      <w:r w:rsidR="00BB77BA" w:rsidRPr="009E0AFD">
        <w:rPr>
          <w:rFonts w:cs="Arial"/>
        </w:rPr>
        <w:t xml:space="preserve">year </w:t>
      </w:r>
      <w:r w:rsidR="00E30D73" w:rsidRPr="009E0AFD">
        <w:rPr>
          <w:rFonts w:cs="Arial"/>
        </w:rPr>
        <w:t>201</w:t>
      </w:r>
      <w:r w:rsidR="009F2D09" w:rsidRPr="009E0AFD">
        <w:rPr>
          <w:rFonts w:cs="Arial"/>
        </w:rPr>
        <w:t>4</w:t>
      </w:r>
      <w:r w:rsidR="00E30D73" w:rsidRPr="009E0AFD">
        <w:rPr>
          <w:rFonts w:cs="Arial"/>
        </w:rPr>
        <w:t>/1</w:t>
      </w:r>
      <w:r w:rsidR="009F2D09" w:rsidRPr="009E0AFD">
        <w:rPr>
          <w:rFonts w:cs="Arial"/>
        </w:rPr>
        <w:t>5</w:t>
      </w:r>
      <w:r w:rsidR="004B77FC" w:rsidRPr="009E0AFD">
        <w:rPr>
          <w:rFonts w:cs="Arial"/>
        </w:rPr>
        <w:t xml:space="preserve"> and also the</w:t>
      </w:r>
      <w:r w:rsidR="00E30D73" w:rsidRPr="009E0AFD">
        <w:rPr>
          <w:rFonts w:cs="Arial"/>
        </w:rPr>
        <w:t xml:space="preserve"> position o</w:t>
      </w:r>
      <w:r w:rsidR="00D768F6" w:rsidRPr="009E0AFD">
        <w:rPr>
          <w:rFonts w:cs="Arial"/>
        </w:rPr>
        <w:t>n</w:t>
      </w:r>
      <w:r w:rsidR="00E30D73" w:rsidRPr="009E0AFD">
        <w:rPr>
          <w:rFonts w:cs="Arial"/>
        </w:rPr>
        <w:t xml:space="preserve"> </w:t>
      </w:r>
      <w:r w:rsidR="004B77FC" w:rsidRPr="009E0AFD">
        <w:rPr>
          <w:rFonts w:cs="Arial"/>
        </w:rPr>
        <w:t xml:space="preserve">risks outstanding as at </w:t>
      </w:r>
      <w:r w:rsidR="008346CA" w:rsidRPr="009E0AFD">
        <w:rPr>
          <w:rFonts w:cs="Arial"/>
        </w:rPr>
        <w:t>31</w:t>
      </w:r>
      <w:r w:rsidR="00E30D73" w:rsidRPr="009E0AFD">
        <w:rPr>
          <w:rFonts w:cs="Arial"/>
        </w:rPr>
        <w:t xml:space="preserve"> </w:t>
      </w:r>
      <w:r w:rsidR="00BB77BA" w:rsidRPr="009E0AFD">
        <w:rPr>
          <w:rFonts w:cs="Arial"/>
        </w:rPr>
        <w:t>March 201</w:t>
      </w:r>
      <w:r w:rsidR="009F2D09" w:rsidRPr="009E0AFD">
        <w:rPr>
          <w:rFonts w:cs="Arial"/>
        </w:rPr>
        <w:t>5</w:t>
      </w:r>
      <w:r w:rsidR="00AE0538" w:rsidRPr="009E0AFD">
        <w:rPr>
          <w:rFonts w:cs="Arial"/>
        </w:rPr>
        <w:t>;</w:t>
      </w:r>
    </w:p>
    <w:p w:rsidR="007E1B08" w:rsidRDefault="007E1B08" w:rsidP="009E0AFD">
      <w:pPr>
        <w:pBdr>
          <w:top w:val="single" w:sz="4" w:space="1" w:color="auto"/>
          <w:left w:val="single" w:sz="4" w:space="4" w:color="auto"/>
          <w:bottom w:val="single" w:sz="4" w:space="1" w:color="auto"/>
          <w:right w:val="single" w:sz="4" w:space="4" w:color="auto"/>
        </w:pBdr>
        <w:tabs>
          <w:tab w:val="left" w:pos="3048"/>
        </w:tabs>
        <w:rPr>
          <w:rFonts w:cs="Arial"/>
        </w:rPr>
      </w:pPr>
    </w:p>
    <w:p w:rsidR="00474485" w:rsidRPr="009E0AFD" w:rsidRDefault="00AB1B1F" w:rsidP="009E0AFD">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9E0AFD">
        <w:rPr>
          <w:rFonts w:cs="Arial"/>
        </w:rPr>
        <w:t xml:space="preserve">Note the transfers to General Fund earmarked reserves detailed in </w:t>
      </w:r>
      <w:r w:rsidR="00693ED6" w:rsidRPr="009E0AFD">
        <w:rPr>
          <w:rFonts w:cs="Arial"/>
        </w:rPr>
        <w:t>the report</w:t>
      </w:r>
      <w:r w:rsidRPr="009E0AFD">
        <w:rPr>
          <w:rFonts w:cs="Arial"/>
        </w:rPr>
        <w:t xml:space="preserve"> and Appendix E5</w:t>
      </w:r>
      <w:r w:rsidR="009E6D5E" w:rsidRPr="009E0AFD">
        <w:rPr>
          <w:rFonts w:cs="Arial"/>
        </w:rPr>
        <w:t>;</w:t>
      </w:r>
    </w:p>
    <w:p w:rsidR="007E1B08" w:rsidRDefault="007E1B08" w:rsidP="009E0AFD">
      <w:pPr>
        <w:pBdr>
          <w:top w:val="single" w:sz="4" w:space="1" w:color="auto"/>
          <w:left w:val="single" w:sz="4" w:space="4" w:color="auto"/>
          <w:bottom w:val="single" w:sz="4" w:space="1" w:color="auto"/>
          <w:right w:val="single" w:sz="4" w:space="4" w:color="auto"/>
        </w:pBdr>
        <w:tabs>
          <w:tab w:val="left" w:pos="3048"/>
        </w:tabs>
        <w:rPr>
          <w:rFonts w:cs="Arial"/>
        </w:rPr>
      </w:pPr>
    </w:p>
    <w:p w:rsidR="008455D5" w:rsidRPr="009E0AFD" w:rsidRDefault="0072307E" w:rsidP="009E0AFD">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9E0AFD">
        <w:rPr>
          <w:rFonts w:cs="Arial"/>
        </w:rPr>
        <w:t xml:space="preserve">Note </w:t>
      </w:r>
      <w:r w:rsidR="0091176F" w:rsidRPr="009E0AFD">
        <w:rPr>
          <w:rFonts w:cs="Arial"/>
        </w:rPr>
        <w:t>the transfer</w:t>
      </w:r>
      <w:r w:rsidR="000C61B2" w:rsidRPr="009E0AFD">
        <w:rPr>
          <w:rFonts w:cs="Arial"/>
        </w:rPr>
        <w:t>s</w:t>
      </w:r>
      <w:r w:rsidR="0091176F" w:rsidRPr="009E0AFD">
        <w:rPr>
          <w:rFonts w:cs="Arial"/>
        </w:rPr>
        <w:t xml:space="preserve"> to </w:t>
      </w:r>
      <w:r w:rsidR="00912361" w:rsidRPr="009E0AFD">
        <w:rPr>
          <w:rFonts w:cs="Arial"/>
        </w:rPr>
        <w:t xml:space="preserve">the </w:t>
      </w:r>
      <w:r w:rsidR="0091176F" w:rsidRPr="009E0AFD">
        <w:rPr>
          <w:rFonts w:cs="Arial"/>
        </w:rPr>
        <w:t xml:space="preserve">Housing Revenue Account (HRA) earmarked reserves </w:t>
      </w:r>
      <w:r w:rsidR="00912361" w:rsidRPr="009E0AFD">
        <w:rPr>
          <w:rFonts w:cs="Arial"/>
        </w:rPr>
        <w:t xml:space="preserve">as </w:t>
      </w:r>
      <w:r w:rsidR="0091176F" w:rsidRPr="009E0AFD">
        <w:rPr>
          <w:rFonts w:cs="Arial"/>
        </w:rPr>
        <w:t>detailed in paragraph</w:t>
      </w:r>
      <w:r w:rsidR="008225BA" w:rsidRPr="009E0AFD">
        <w:rPr>
          <w:rFonts w:cs="Arial"/>
        </w:rPr>
        <w:t xml:space="preserve"> </w:t>
      </w:r>
      <w:r w:rsidR="00DA5047" w:rsidRPr="009E0AFD">
        <w:rPr>
          <w:rFonts w:cs="Arial"/>
        </w:rPr>
        <w:t>16</w:t>
      </w:r>
      <w:r w:rsidR="00AE0538" w:rsidRPr="009E0AFD">
        <w:rPr>
          <w:rFonts w:cs="Arial"/>
        </w:rPr>
        <w:t xml:space="preserve">; </w:t>
      </w:r>
    </w:p>
    <w:p w:rsidR="008455D5" w:rsidRDefault="008455D5" w:rsidP="009E0AFD">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7E1B08" w:rsidRPr="009E0AFD" w:rsidRDefault="008455D5" w:rsidP="009E0AFD">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9E0AFD">
        <w:rPr>
          <w:rFonts w:cs="Arial"/>
        </w:rPr>
        <w:t>Agree the carry forward r</w:t>
      </w:r>
      <w:r w:rsidR="007154CE" w:rsidRPr="009E0AFD">
        <w:rPr>
          <w:rFonts w:cs="Arial"/>
        </w:rPr>
        <w:t xml:space="preserve">equests outlined at paragraph </w:t>
      </w:r>
      <w:r w:rsidR="00DA5047" w:rsidRPr="009E0AFD">
        <w:rPr>
          <w:rFonts w:cs="Arial"/>
        </w:rPr>
        <w:t xml:space="preserve">8 </w:t>
      </w:r>
      <w:r w:rsidRPr="009E0AFD">
        <w:rPr>
          <w:rFonts w:cs="Arial"/>
        </w:rPr>
        <w:t xml:space="preserve">and detailed in Appendix E4; </w:t>
      </w:r>
    </w:p>
    <w:p w:rsidR="00AE0538" w:rsidRDefault="00AE0538" w:rsidP="009E0AFD">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E0538" w:rsidRPr="009E0AFD" w:rsidRDefault="00E9623A" w:rsidP="009E0AFD">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
      </w:pPr>
      <w:r w:rsidRPr="009E0AFD">
        <w:rPr>
          <w:rFonts w:cs="Arial"/>
        </w:rPr>
        <w:t xml:space="preserve">Note the capital </w:t>
      </w:r>
      <w:r w:rsidR="00F13F3F" w:rsidRPr="009E0AFD">
        <w:rPr>
          <w:rFonts w:cs="Arial"/>
        </w:rPr>
        <w:t xml:space="preserve">carry forwards </w:t>
      </w:r>
      <w:r w:rsidRPr="009E0AFD">
        <w:rPr>
          <w:rFonts w:cs="Arial"/>
        </w:rPr>
        <w:t>as detailed in Appendix E2</w:t>
      </w:r>
    </w:p>
    <w:p w:rsidR="007E1B08" w:rsidRPr="008346CA" w:rsidRDefault="007E1B08"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D4C4D" w:rsidRDefault="005D4C4D" w:rsidP="005D4C4D">
      <w:pPr>
        <w:rPr>
          <w:rFonts w:cs="Arial"/>
        </w:rPr>
      </w:pPr>
    </w:p>
    <w:p w:rsidR="007E1B08" w:rsidRPr="00AE0538" w:rsidRDefault="00AE0538" w:rsidP="005D4C4D">
      <w:pPr>
        <w:rPr>
          <w:rFonts w:cs="Arial"/>
          <w:b/>
        </w:rPr>
      </w:pPr>
      <w:r w:rsidRPr="00AE0538">
        <w:rPr>
          <w:rFonts w:cs="Arial"/>
          <w:b/>
        </w:rPr>
        <w:t>Appendices</w:t>
      </w:r>
    </w:p>
    <w:p w:rsidR="007E1B08" w:rsidRDefault="007E1B08" w:rsidP="005D4C4D">
      <w:pPr>
        <w:rPr>
          <w:rFonts w:cs="Arial"/>
        </w:rPr>
      </w:pPr>
    </w:p>
    <w:p w:rsidR="00EF7125" w:rsidRDefault="0069250F" w:rsidP="005D4C4D">
      <w:pPr>
        <w:rPr>
          <w:rFonts w:cs="Arial"/>
        </w:rPr>
      </w:pPr>
      <w:r w:rsidRPr="00335660">
        <w:rPr>
          <w:rFonts w:cs="Arial"/>
          <w:b/>
        </w:rPr>
        <w:lastRenderedPageBreak/>
        <w:t>Appendix A</w:t>
      </w:r>
      <w:r w:rsidR="00BD2618">
        <w:rPr>
          <w:rFonts w:cs="Arial"/>
          <w:b/>
        </w:rPr>
        <w:t>1</w:t>
      </w:r>
      <w:r>
        <w:rPr>
          <w:rFonts w:cs="Arial"/>
        </w:rPr>
        <w:t xml:space="preserve"> </w:t>
      </w:r>
      <w:r w:rsidR="00240250">
        <w:rPr>
          <w:rFonts w:cs="Arial"/>
        </w:rPr>
        <w:t>–</w:t>
      </w:r>
      <w:r w:rsidR="00335660">
        <w:rPr>
          <w:rFonts w:cs="Arial"/>
        </w:rPr>
        <w:t xml:space="preserve"> Corporate </w:t>
      </w:r>
      <w:r w:rsidR="004331BA">
        <w:rPr>
          <w:rFonts w:cs="Arial"/>
        </w:rPr>
        <w:t>Integrated Report</w:t>
      </w:r>
      <w:r w:rsidR="00EF7125">
        <w:rPr>
          <w:rFonts w:cs="Arial"/>
        </w:rPr>
        <w:t xml:space="preserve"> </w:t>
      </w:r>
      <w:r w:rsidR="00BD2618">
        <w:rPr>
          <w:rFonts w:cs="Arial"/>
        </w:rPr>
        <w:t>Dials</w:t>
      </w:r>
    </w:p>
    <w:p w:rsidR="00BD2618" w:rsidRDefault="00BD2618" w:rsidP="00BD2618">
      <w:pPr>
        <w:rPr>
          <w:rFonts w:cs="Arial"/>
        </w:rPr>
      </w:pPr>
      <w:r w:rsidRPr="00335660">
        <w:rPr>
          <w:rFonts w:cs="Arial"/>
          <w:b/>
        </w:rPr>
        <w:t>Appendix A</w:t>
      </w:r>
      <w:r>
        <w:rPr>
          <w:rFonts w:cs="Arial"/>
          <w:b/>
        </w:rPr>
        <w:t>2</w:t>
      </w:r>
      <w:r>
        <w:rPr>
          <w:rFonts w:cs="Arial"/>
        </w:rPr>
        <w:t xml:space="preserve"> – Corporate Integrated Report Narrative</w:t>
      </w:r>
    </w:p>
    <w:p w:rsidR="00701D7D" w:rsidRDefault="00701D7D" w:rsidP="005D4C4D">
      <w:pPr>
        <w:rPr>
          <w:rFonts w:cs="Arial"/>
        </w:rPr>
      </w:pPr>
      <w:r w:rsidRPr="00335660">
        <w:rPr>
          <w:rFonts w:cs="Arial"/>
          <w:b/>
        </w:rPr>
        <w:t xml:space="preserve">Appendix </w:t>
      </w:r>
      <w:r w:rsidR="00335660" w:rsidRPr="00335660">
        <w:rPr>
          <w:rFonts w:cs="Arial"/>
          <w:b/>
        </w:rPr>
        <w:t>B</w:t>
      </w:r>
      <w:r w:rsidR="00BD2618">
        <w:rPr>
          <w:rFonts w:cs="Arial"/>
          <w:b/>
        </w:rPr>
        <w:t>1</w:t>
      </w:r>
      <w:r>
        <w:rPr>
          <w:rFonts w:cs="Arial"/>
        </w:rPr>
        <w:t xml:space="preserve"> </w:t>
      </w:r>
      <w:r w:rsidR="00240250">
        <w:rPr>
          <w:rFonts w:cs="Arial"/>
        </w:rPr>
        <w:t>–</w:t>
      </w:r>
      <w:r w:rsidR="00335660">
        <w:rPr>
          <w:rFonts w:cs="Arial"/>
        </w:rPr>
        <w:t xml:space="preserve"> City </w:t>
      </w:r>
      <w:r w:rsidR="00D555A4">
        <w:rPr>
          <w:rFonts w:cs="Arial"/>
        </w:rPr>
        <w:t>Regeneration</w:t>
      </w:r>
      <w:r>
        <w:rPr>
          <w:rFonts w:cs="Arial"/>
        </w:rPr>
        <w:t xml:space="preserve"> </w:t>
      </w:r>
      <w:r w:rsidR="00335660">
        <w:rPr>
          <w:rFonts w:cs="Arial"/>
        </w:rPr>
        <w:t>Integrated R</w:t>
      </w:r>
      <w:r>
        <w:rPr>
          <w:rFonts w:cs="Arial"/>
        </w:rPr>
        <w:t>eport</w:t>
      </w:r>
      <w:r w:rsidR="00BD2618">
        <w:rPr>
          <w:rFonts w:cs="Arial"/>
        </w:rPr>
        <w:t xml:space="preserve"> Dials</w:t>
      </w:r>
    </w:p>
    <w:p w:rsidR="00BD2618" w:rsidRDefault="00BD2618" w:rsidP="00BD2618">
      <w:pPr>
        <w:rPr>
          <w:rFonts w:cs="Arial"/>
        </w:rPr>
      </w:pPr>
      <w:r w:rsidRPr="00335660">
        <w:rPr>
          <w:rFonts w:cs="Arial"/>
          <w:b/>
        </w:rPr>
        <w:t>Appendix B</w:t>
      </w:r>
      <w:r>
        <w:rPr>
          <w:rFonts w:cs="Arial"/>
          <w:b/>
        </w:rPr>
        <w:t>2</w:t>
      </w:r>
      <w:r>
        <w:rPr>
          <w:rFonts w:cs="Arial"/>
        </w:rPr>
        <w:t xml:space="preserve"> – City Regeneration Integrated Report Narrative</w:t>
      </w:r>
    </w:p>
    <w:p w:rsidR="00701D7D" w:rsidRDefault="00335660" w:rsidP="00BD2618">
      <w:pPr>
        <w:ind w:left="1843" w:hanging="1843"/>
        <w:rPr>
          <w:rFonts w:cs="Arial"/>
        </w:rPr>
      </w:pPr>
      <w:r w:rsidRPr="00335660">
        <w:rPr>
          <w:rFonts w:cs="Arial"/>
          <w:b/>
        </w:rPr>
        <w:t>Appendix C</w:t>
      </w:r>
      <w:r w:rsidR="00BD2618">
        <w:rPr>
          <w:rFonts w:cs="Arial"/>
          <w:b/>
        </w:rPr>
        <w:t>1</w:t>
      </w:r>
      <w:r w:rsidR="00D555A4">
        <w:rPr>
          <w:rFonts w:cs="Arial"/>
        </w:rPr>
        <w:t xml:space="preserve"> </w:t>
      </w:r>
      <w:r w:rsidR="00240250">
        <w:rPr>
          <w:rFonts w:cs="Arial"/>
        </w:rPr>
        <w:t>–</w:t>
      </w:r>
      <w:r w:rsidR="00D555A4">
        <w:rPr>
          <w:rFonts w:cs="Arial"/>
        </w:rPr>
        <w:t xml:space="preserve"> </w:t>
      </w:r>
      <w:r>
        <w:rPr>
          <w:rFonts w:cs="Arial"/>
        </w:rPr>
        <w:t>Organisational Development and</w:t>
      </w:r>
      <w:r w:rsidR="00D555A4">
        <w:rPr>
          <w:rFonts w:cs="Arial"/>
        </w:rPr>
        <w:t xml:space="preserve"> </w:t>
      </w:r>
      <w:r w:rsidR="00DF735B">
        <w:rPr>
          <w:rFonts w:cs="Arial"/>
        </w:rPr>
        <w:t>Services</w:t>
      </w:r>
      <w:r w:rsidR="00D555A4">
        <w:rPr>
          <w:rFonts w:cs="Arial"/>
        </w:rPr>
        <w:t xml:space="preserve"> </w:t>
      </w:r>
      <w:r w:rsidR="00DF735B">
        <w:rPr>
          <w:rFonts w:cs="Arial"/>
        </w:rPr>
        <w:t>I</w:t>
      </w:r>
      <w:r>
        <w:rPr>
          <w:rFonts w:cs="Arial"/>
        </w:rPr>
        <w:t>ntegrated Report</w:t>
      </w:r>
      <w:r w:rsidR="00BD2618">
        <w:rPr>
          <w:rFonts w:cs="Arial"/>
        </w:rPr>
        <w:t xml:space="preserve"> Dials</w:t>
      </w:r>
    </w:p>
    <w:p w:rsidR="00BD2618" w:rsidRDefault="00BD2618" w:rsidP="00BD2618">
      <w:pPr>
        <w:ind w:left="1843" w:hanging="1843"/>
        <w:rPr>
          <w:rFonts w:cs="Arial"/>
        </w:rPr>
      </w:pPr>
      <w:r w:rsidRPr="00335660">
        <w:rPr>
          <w:rFonts w:cs="Arial"/>
          <w:b/>
        </w:rPr>
        <w:t>Appendix C</w:t>
      </w:r>
      <w:r>
        <w:rPr>
          <w:rFonts w:cs="Arial"/>
          <w:b/>
        </w:rPr>
        <w:t>2</w:t>
      </w:r>
      <w:r>
        <w:rPr>
          <w:rFonts w:cs="Arial"/>
        </w:rPr>
        <w:t xml:space="preserve"> – Organisational Development and Services Integrated Report Narrative</w:t>
      </w:r>
    </w:p>
    <w:p w:rsidR="000372FD" w:rsidRDefault="000372FD" w:rsidP="005D4C4D">
      <w:pPr>
        <w:rPr>
          <w:rFonts w:cs="Arial"/>
        </w:rPr>
      </w:pPr>
      <w:r w:rsidRPr="000372FD">
        <w:rPr>
          <w:rFonts w:cs="Arial"/>
          <w:b/>
        </w:rPr>
        <w:t xml:space="preserve">Appendix </w:t>
      </w:r>
      <w:r>
        <w:rPr>
          <w:rFonts w:cs="Arial"/>
          <w:b/>
        </w:rPr>
        <w:t>D</w:t>
      </w:r>
      <w:r w:rsidR="00BD2618">
        <w:rPr>
          <w:rFonts w:cs="Arial"/>
          <w:b/>
        </w:rPr>
        <w:t>1</w:t>
      </w:r>
      <w:r w:rsidR="00D555A4">
        <w:rPr>
          <w:rFonts w:cs="Arial"/>
        </w:rPr>
        <w:t xml:space="preserve"> </w:t>
      </w:r>
      <w:r w:rsidR="00240250">
        <w:rPr>
          <w:rFonts w:cs="Arial"/>
        </w:rPr>
        <w:t>–</w:t>
      </w:r>
      <w:r w:rsidR="00D555A4">
        <w:rPr>
          <w:rFonts w:cs="Arial"/>
        </w:rPr>
        <w:t xml:space="preserve"> </w:t>
      </w:r>
      <w:r>
        <w:rPr>
          <w:rFonts w:cs="Arial"/>
        </w:rPr>
        <w:t>Community Services Integrated Report</w:t>
      </w:r>
      <w:r w:rsidR="00BD2618">
        <w:rPr>
          <w:rFonts w:cs="Arial"/>
        </w:rPr>
        <w:t xml:space="preserve"> Dials</w:t>
      </w:r>
    </w:p>
    <w:p w:rsidR="00BD2618" w:rsidRDefault="00BD2618" w:rsidP="00BD2618">
      <w:pPr>
        <w:rPr>
          <w:rFonts w:cs="Arial"/>
        </w:rPr>
      </w:pPr>
      <w:r w:rsidRPr="000372FD">
        <w:rPr>
          <w:rFonts w:cs="Arial"/>
          <w:b/>
        </w:rPr>
        <w:t xml:space="preserve">Appendix </w:t>
      </w:r>
      <w:r>
        <w:rPr>
          <w:rFonts w:cs="Arial"/>
          <w:b/>
        </w:rPr>
        <w:t>D1</w:t>
      </w:r>
      <w:r>
        <w:rPr>
          <w:rFonts w:cs="Arial"/>
        </w:rPr>
        <w:t xml:space="preserve"> – Community Services Integrated Report Narrative</w:t>
      </w:r>
    </w:p>
    <w:p w:rsidR="00335660" w:rsidRDefault="000372FD" w:rsidP="005D4C4D">
      <w:pPr>
        <w:rPr>
          <w:rFonts w:cs="Arial"/>
        </w:rPr>
      </w:pPr>
      <w:r>
        <w:rPr>
          <w:rFonts w:cs="Arial"/>
          <w:b/>
        </w:rPr>
        <w:t>Appendix E</w:t>
      </w:r>
      <w:r w:rsidR="00335660" w:rsidRPr="00335660">
        <w:rPr>
          <w:rFonts w:cs="Arial"/>
          <w:b/>
        </w:rPr>
        <w:t>1</w:t>
      </w:r>
      <w:r w:rsidR="00335660">
        <w:rPr>
          <w:rFonts w:cs="Arial"/>
        </w:rPr>
        <w:t xml:space="preserve"> – General Fund Outturn</w:t>
      </w:r>
    </w:p>
    <w:p w:rsidR="00335660" w:rsidRDefault="000372FD" w:rsidP="005D4C4D">
      <w:pPr>
        <w:rPr>
          <w:rFonts w:cs="Arial"/>
        </w:rPr>
      </w:pPr>
      <w:r>
        <w:rPr>
          <w:rFonts w:cs="Arial"/>
          <w:b/>
        </w:rPr>
        <w:t>Appendix E</w:t>
      </w:r>
      <w:r w:rsidR="00335660" w:rsidRPr="00335660">
        <w:rPr>
          <w:rFonts w:cs="Arial"/>
          <w:b/>
        </w:rPr>
        <w:t>2</w:t>
      </w:r>
      <w:r w:rsidR="00335660">
        <w:rPr>
          <w:rFonts w:cs="Arial"/>
        </w:rPr>
        <w:t xml:space="preserve"> – Capital Programme Outturn</w:t>
      </w:r>
    </w:p>
    <w:p w:rsidR="00335660" w:rsidRDefault="000372FD" w:rsidP="005D4C4D">
      <w:pPr>
        <w:rPr>
          <w:rFonts w:cs="Arial"/>
        </w:rPr>
      </w:pPr>
      <w:r>
        <w:rPr>
          <w:rFonts w:cs="Arial"/>
          <w:b/>
        </w:rPr>
        <w:t>Appendix E</w:t>
      </w:r>
      <w:r w:rsidR="00335660" w:rsidRPr="00335660">
        <w:rPr>
          <w:rFonts w:cs="Arial"/>
          <w:b/>
        </w:rPr>
        <w:t>3</w:t>
      </w:r>
      <w:r w:rsidR="00335660">
        <w:rPr>
          <w:rFonts w:cs="Arial"/>
        </w:rPr>
        <w:t xml:space="preserve"> – HRA Outturn</w:t>
      </w:r>
    </w:p>
    <w:p w:rsidR="00335660" w:rsidRDefault="000372FD" w:rsidP="005D4C4D">
      <w:pPr>
        <w:rPr>
          <w:rFonts w:cs="Arial"/>
        </w:rPr>
      </w:pPr>
      <w:r>
        <w:rPr>
          <w:rFonts w:cs="Arial"/>
          <w:b/>
        </w:rPr>
        <w:t>Appendix E</w:t>
      </w:r>
      <w:r w:rsidR="00335660" w:rsidRPr="00335660">
        <w:rPr>
          <w:rFonts w:cs="Arial"/>
          <w:b/>
        </w:rPr>
        <w:t>4</w:t>
      </w:r>
      <w:r w:rsidR="00335660">
        <w:rPr>
          <w:rFonts w:cs="Arial"/>
        </w:rPr>
        <w:t xml:space="preserve"> – </w:t>
      </w:r>
      <w:r w:rsidR="00240250">
        <w:rPr>
          <w:rFonts w:cs="Arial"/>
        </w:rPr>
        <w:t>Carry Forward Requests</w:t>
      </w:r>
    </w:p>
    <w:p w:rsidR="006E44BB" w:rsidRDefault="006E44BB" w:rsidP="005D4C4D">
      <w:pPr>
        <w:rPr>
          <w:rFonts w:cs="Arial"/>
        </w:rPr>
      </w:pPr>
      <w:r w:rsidRPr="007154CE">
        <w:rPr>
          <w:rFonts w:cs="Arial"/>
          <w:b/>
        </w:rPr>
        <w:t xml:space="preserve">Appendix </w:t>
      </w:r>
      <w:r w:rsidR="007154CE" w:rsidRPr="007154CE">
        <w:rPr>
          <w:rFonts w:cs="Arial"/>
          <w:b/>
        </w:rPr>
        <w:t>E5</w:t>
      </w:r>
      <w:r w:rsidR="007154CE">
        <w:rPr>
          <w:rFonts w:cs="Arial"/>
        </w:rPr>
        <w:t xml:space="preserve"> </w:t>
      </w:r>
      <w:r w:rsidR="009F2D09">
        <w:rPr>
          <w:rFonts w:cs="Arial"/>
        </w:rPr>
        <w:t>–</w:t>
      </w:r>
      <w:r w:rsidR="007154CE">
        <w:rPr>
          <w:rFonts w:cs="Arial"/>
        </w:rPr>
        <w:t xml:space="preserve"> Earmarked</w:t>
      </w:r>
      <w:r>
        <w:rPr>
          <w:rFonts w:cs="Arial"/>
        </w:rPr>
        <w:t xml:space="preserve"> Reserves as at 31</w:t>
      </w:r>
      <w:r w:rsidRPr="004A700B">
        <w:rPr>
          <w:rFonts w:cs="Arial"/>
          <w:vertAlign w:val="superscript"/>
        </w:rPr>
        <w:t>st</w:t>
      </w:r>
      <w:r>
        <w:rPr>
          <w:rFonts w:cs="Arial"/>
        </w:rPr>
        <w:t xml:space="preserve"> March 201</w:t>
      </w:r>
      <w:r w:rsidR="009F2D09">
        <w:rPr>
          <w:rFonts w:cs="Arial"/>
        </w:rPr>
        <w:t>5</w:t>
      </w:r>
    </w:p>
    <w:p w:rsidR="002D3856" w:rsidRDefault="002D3856" w:rsidP="002D3856">
      <w:pPr>
        <w:rPr>
          <w:rFonts w:cs="Arial"/>
        </w:rPr>
      </w:pPr>
    </w:p>
    <w:p w:rsidR="00AE0538" w:rsidRDefault="00AE0538" w:rsidP="002D3856">
      <w:pPr>
        <w:rPr>
          <w:rFonts w:cs="Arial"/>
          <w:b/>
        </w:rPr>
      </w:pPr>
      <w:r>
        <w:rPr>
          <w:rFonts w:cs="Arial"/>
          <w:b/>
        </w:rPr>
        <w:t>Executive Summary</w:t>
      </w:r>
    </w:p>
    <w:p w:rsidR="00AE0538" w:rsidRDefault="00AE0538" w:rsidP="002D3856">
      <w:pPr>
        <w:rPr>
          <w:rFonts w:cs="Arial"/>
        </w:rPr>
      </w:pPr>
    </w:p>
    <w:p w:rsidR="00AE0538" w:rsidRDefault="00AE0538" w:rsidP="00662A0F">
      <w:pPr>
        <w:numPr>
          <w:ilvl w:val="0"/>
          <w:numId w:val="1"/>
        </w:numPr>
        <w:ind w:left="426" w:hanging="426"/>
        <w:rPr>
          <w:rFonts w:cs="Arial"/>
        </w:rPr>
      </w:pPr>
      <w:r>
        <w:rPr>
          <w:rFonts w:cs="Arial"/>
        </w:rPr>
        <w:t xml:space="preserve">This report updates the </w:t>
      </w:r>
      <w:r w:rsidR="00777FC6">
        <w:rPr>
          <w:rFonts w:cs="Arial"/>
        </w:rPr>
        <w:t>Board</w:t>
      </w:r>
      <w:r>
        <w:rPr>
          <w:rFonts w:cs="Arial"/>
        </w:rPr>
        <w:t xml:space="preserve"> on the financial and performance </w:t>
      </w:r>
      <w:r w:rsidR="00864298">
        <w:rPr>
          <w:rFonts w:cs="Arial"/>
        </w:rPr>
        <w:t>position</w:t>
      </w:r>
      <w:r w:rsidR="005323C6">
        <w:rPr>
          <w:rFonts w:cs="Arial"/>
        </w:rPr>
        <w:t xml:space="preserve"> </w:t>
      </w:r>
      <w:r w:rsidR="002F1875">
        <w:rPr>
          <w:rFonts w:cs="Arial"/>
        </w:rPr>
        <w:t>of the Council as well as</w:t>
      </w:r>
      <w:r>
        <w:rPr>
          <w:rFonts w:cs="Arial"/>
        </w:rPr>
        <w:t xml:space="preserve"> risks faced as at 31</w:t>
      </w:r>
      <w:r w:rsidRPr="000A2EF0">
        <w:rPr>
          <w:rFonts w:cs="Arial"/>
          <w:vertAlign w:val="superscript"/>
        </w:rPr>
        <w:t>st</w:t>
      </w:r>
      <w:r>
        <w:rPr>
          <w:rFonts w:cs="Arial"/>
        </w:rPr>
        <w:t xml:space="preserve"> March 201</w:t>
      </w:r>
      <w:r w:rsidR="009F2D09">
        <w:rPr>
          <w:rFonts w:cs="Arial"/>
        </w:rPr>
        <w:t>5</w:t>
      </w:r>
      <w:r>
        <w:rPr>
          <w:rFonts w:cs="Arial"/>
        </w:rPr>
        <w:t xml:space="preserve">.  A brief summary of </w:t>
      </w:r>
      <w:r w:rsidR="00864298">
        <w:rPr>
          <w:rFonts w:cs="Arial"/>
        </w:rPr>
        <w:t xml:space="preserve">the outturn position </w:t>
      </w:r>
      <w:r>
        <w:rPr>
          <w:rFonts w:cs="Arial"/>
        </w:rPr>
        <w:t>for 201</w:t>
      </w:r>
      <w:r w:rsidR="009F2D09">
        <w:rPr>
          <w:rFonts w:cs="Arial"/>
        </w:rPr>
        <w:t>4</w:t>
      </w:r>
      <w:r>
        <w:rPr>
          <w:rFonts w:cs="Arial"/>
        </w:rPr>
        <w:t>/1</w:t>
      </w:r>
      <w:r w:rsidR="009F2D09">
        <w:rPr>
          <w:rFonts w:cs="Arial"/>
        </w:rPr>
        <w:t>5</w:t>
      </w:r>
      <w:r>
        <w:rPr>
          <w:rFonts w:cs="Arial"/>
        </w:rPr>
        <w:t xml:space="preserve"> is as follows: -</w:t>
      </w:r>
    </w:p>
    <w:p w:rsidR="00AE0538" w:rsidRDefault="00A20074" w:rsidP="00662A0F">
      <w:pPr>
        <w:numPr>
          <w:ilvl w:val="0"/>
          <w:numId w:val="2"/>
        </w:numPr>
        <w:rPr>
          <w:rFonts w:cs="Arial"/>
        </w:rPr>
      </w:pPr>
      <w:r w:rsidRPr="00A20074">
        <w:rPr>
          <w:rFonts w:cs="Arial"/>
          <w:b/>
        </w:rPr>
        <w:t>General Fund</w:t>
      </w:r>
      <w:r>
        <w:rPr>
          <w:rFonts w:cs="Arial"/>
        </w:rPr>
        <w:t xml:space="preserve"> – the outturn position </w:t>
      </w:r>
      <w:r w:rsidR="005323C6">
        <w:rPr>
          <w:rFonts w:cs="Arial"/>
        </w:rPr>
        <w:t>prior to audit is</w:t>
      </w:r>
      <w:r w:rsidR="005976C4">
        <w:rPr>
          <w:rFonts w:cs="Arial"/>
        </w:rPr>
        <w:t xml:space="preserve"> a net underspend of £</w:t>
      </w:r>
      <w:r w:rsidR="009F2D09">
        <w:rPr>
          <w:rFonts w:cs="Arial"/>
        </w:rPr>
        <w:t>1</w:t>
      </w:r>
      <w:r w:rsidR="005976C4">
        <w:rPr>
          <w:rFonts w:cs="Arial"/>
        </w:rPr>
        <w:t>.</w:t>
      </w:r>
      <w:r w:rsidR="009F2D09">
        <w:rPr>
          <w:rFonts w:cs="Arial"/>
        </w:rPr>
        <w:t xml:space="preserve">808 </w:t>
      </w:r>
      <w:r w:rsidR="005976C4">
        <w:rPr>
          <w:rFonts w:cs="Arial"/>
        </w:rPr>
        <w:t>million</w:t>
      </w:r>
      <w:r w:rsidR="000D1F17">
        <w:rPr>
          <w:rFonts w:cs="Arial"/>
        </w:rPr>
        <w:t xml:space="preserve"> (due to good performance on income and the delivery of savings)</w:t>
      </w:r>
      <w:r w:rsidR="009F2D09">
        <w:rPr>
          <w:rFonts w:cs="Arial"/>
        </w:rPr>
        <w:t xml:space="preserve"> which </w:t>
      </w:r>
      <w:r w:rsidR="00BA646B">
        <w:rPr>
          <w:rFonts w:cs="Arial"/>
        </w:rPr>
        <w:t xml:space="preserve">is 7.5% of gross budgeted expenditure and </w:t>
      </w:r>
      <w:r w:rsidR="009F2D09">
        <w:rPr>
          <w:rFonts w:cs="Arial"/>
        </w:rPr>
        <w:t xml:space="preserve">has been </w:t>
      </w:r>
      <w:r w:rsidR="008E09D0">
        <w:rPr>
          <w:rFonts w:cs="Arial"/>
        </w:rPr>
        <w:t xml:space="preserve">transferred to </w:t>
      </w:r>
      <w:r w:rsidR="008E09D0" w:rsidRPr="00DB26C0">
        <w:rPr>
          <w:rFonts w:cs="Arial"/>
        </w:rPr>
        <w:t xml:space="preserve">earmarked reserves </w:t>
      </w:r>
      <w:r w:rsidRPr="00DB26C0">
        <w:rPr>
          <w:rFonts w:cs="Arial"/>
        </w:rPr>
        <w:t xml:space="preserve">(as detailed in paragraph </w:t>
      </w:r>
      <w:r w:rsidR="00DA5047">
        <w:rPr>
          <w:rFonts w:cs="Arial"/>
        </w:rPr>
        <w:t>7</w:t>
      </w:r>
      <w:r w:rsidR="002B3272" w:rsidRPr="00DB26C0">
        <w:rPr>
          <w:rFonts w:cs="Arial"/>
        </w:rPr>
        <w:t>)</w:t>
      </w:r>
      <w:r w:rsidR="008E09D0" w:rsidRPr="00DB26C0">
        <w:rPr>
          <w:rFonts w:cs="Arial"/>
        </w:rPr>
        <w:t>. The General</w:t>
      </w:r>
      <w:r w:rsidR="008E09D0">
        <w:rPr>
          <w:rFonts w:cs="Arial"/>
        </w:rPr>
        <w:t xml:space="preserve"> Fund working balance remains at</w:t>
      </w:r>
      <w:r w:rsidR="004A700B">
        <w:rPr>
          <w:rFonts w:cs="Arial"/>
        </w:rPr>
        <w:t xml:space="preserve"> £3.622 million</w:t>
      </w:r>
      <w:r>
        <w:rPr>
          <w:rFonts w:cs="Arial"/>
        </w:rPr>
        <w:t>;</w:t>
      </w:r>
    </w:p>
    <w:p w:rsidR="00A20074" w:rsidRDefault="00A20074" w:rsidP="00DF2670">
      <w:pPr>
        <w:numPr>
          <w:ilvl w:val="0"/>
          <w:numId w:val="2"/>
        </w:numPr>
        <w:rPr>
          <w:rFonts w:cs="Arial"/>
        </w:rPr>
      </w:pPr>
      <w:r w:rsidRPr="00A20074">
        <w:rPr>
          <w:rFonts w:cs="Arial"/>
          <w:b/>
        </w:rPr>
        <w:t>Efficiencies, Additional Income</w:t>
      </w:r>
      <w:r w:rsidR="00864298">
        <w:rPr>
          <w:rFonts w:cs="Arial"/>
          <w:b/>
        </w:rPr>
        <w:t xml:space="preserve"> &amp;</w:t>
      </w:r>
      <w:r w:rsidRPr="00A20074">
        <w:rPr>
          <w:rFonts w:cs="Arial"/>
          <w:b/>
        </w:rPr>
        <w:t xml:space="preserve"> Service Reduction Targets</w:t>
      </w:r>
      <w:r>
        <w:rPr>
          <w:rFonts w:cs="Arial"/>
        </w:rPr>
        <w:t xml:space="preserve"> – </w:t>
      </w:r>
      <w:r w:rsidR="00DF2670" w:rsidRPr="00DF2670">
        <w:rPr>
          <w:rFonts w:cs="Arial"/>
        </w:rPr>
        <w:t>A</w:t>
      </w:r>
      <w:r w:rsidR="008E09D0">
        <w:rPr>
          <w:rFonts w:cs="Arial"/>
        </w:rPr>
        <w:t>t</w:t>
      </w:r>
      <w:r w:rsidR="00DF2670" w:rsidRPr="00DF2670">
        <w:rPr>
          <w:rFonts w:cs="Arial"/>
        </w:rPr>
        <w:t xml:space="preserve">  year </w:t>
      </w:r>
      <w:r w:rsidR="008E09D0">
        <w:rPr>
          <w:rFonts w:cs="Arial"/>
        </w:rPr>
        <w:t xml:space="preserve">end </w:t>
      </w:r>
      <w:r w:rsidR="00DF2670" w:rsidRPr="00DF2670">
        <w:rPr>
          <w:rFonts w:cs="Arial"/>
        </w:rPr>
        <w:t xml:space="preserve">all targets were delivered </w:t>
      </w:r>
      <w:r w:rsidR="00CC5782">
        <w:rPr>
          <w:rFonts w:cs="Arial"/>
        </w:rPr>
        <w:t>albeit some substitution of original efficiency savings was required as previously reported</w:t>
      </w:r>
      <w:r>
        <w:rPr>
          <w:rFonts w:cs="Arial"/>
        </w:rPr>
        <w:t>;</w:t>
      </w:r>
    </w:p>
    <w:p w:rsidR="00A20074" w:rsidRDefault="00A20074" w:rsidP="00662A0F">
      <w:pPr>
        <w:numPr>
          <w:ilvl w:val="0"/>
          <w:numId w:val="2"/>
        </w:numPr>
        <w:rPr>
          <w:rFonts w:cs="Arial"/>
        </w:rPr>
      </w:pPr>
      <w:r w:rsidRPr="00A20074">
        <w:rPr>
          <w:rFonts w:cs="Arial"/>
          <w:b/>
        </w:rPr>
        <w:t>Housing Revenue Account</w:t>
      </w:r>
      <w:r>
        <w:rPr>
          <w:rFonts w:cs="Arial"/>
        </w:rPr>
        <w:t xml:space="preserve"> – </w:t>
      </w:r>
      <w:r w:rsidR="00692509">
        <w:rPr>
          <w:rFonts w:cs="Arial"/>
        </w:rPr>
        <w:t xml:space="preserve">the outturn position prior to audit is </w:t>
      </w:r>
      <w:r w:rsidR="00692509" w:rsidRPr="00DB26C0">
        <w:rPr>
          <w:rFonts w:cs="Arial"/>
        </w:rPr>
        <w:t>a net underspend of £</w:t>
      </w:r>
      <w:r w:rsidR="00DB26C0" w:rsidRPr="00DB26C0">
        <w:rPr>
          <w:rFonts w:cs="Arial"/>
        </w:rPr>
        <w:t>2</w:t>
      </w:r>
      <w:r w:rsidR="00692509" w:rsidRPr="00DB26C0">
        <w:rPr>
          <w:rFonts w:cs="Arial"/>
        </w:rPr>
        <w:t>.</w:t>
      </w:r>
      <w:r w:rsidR="00DB26C0" w:rsidRPr="00DB26C0">
        <w:rPr>
          <w:rFonts w:cs="Arial"/>
        </w:rPr>
        <w:t>565</w:t>
      </w:r>
      <w:r w:rsidR="00692509" w:rsidRPr="00DB26C0">
        <w:rPr>
          <w:rFonts w:cs="Arial"/>
        </w:rPr>
        <w:t xml:space="preserve"> million which </w:t>
      </w:r>
      <w:r w:rsidR="00BA646B" w:rsidRPr="00BA646B">
        <w:rPr>
          <w:rFonts w:cs="Arial"/>
        </w:rPr>
        <w:t xml:space="preserve">is </w:t>
      </w:r>
      <w:r w:rsidR="00BA646B">
        <w:rPr>
          <w:rFonts w:cs="Arial"/>
        </w:rPr>
        <w:t>6</w:t>
      </w:r>
      <w:r w:rsidR="00BA646B" w:rsidRPr="00BA646B">
        <w:rPr>
          <w:rFonts w:cs="Arial"/>
        </w:rPr>
        <w:t xml:space="preserve">% of gross budgeted expenditure and </w:t>
      </w:r>
      <w:r w:rsidR="00692509" w:rsidRPr="00DB26C0">
        <w:rPr>
          <w:rFonts w:cs="Arial"/>
        </w:rPr>
        <w:t>has been transferred to</w:t>
      </w:r>
      <w:r w:rsidR="00692509">
        <w:rPr>
          <w:rFonts w:cs="Arial"/>
        </w:rPr>
        <w:t xml:space="preserve"> </w:t>
      </w:r>
      <w:r w:rsidR="00692509" w:rsidRPr="00DB26C0">
        <w:rPr>
          <w:rFonts w:cs="Arial"/>
        </w:rPr>
        <w:t xml:space="preserve">earmarked reserves (as detailed in paragraph </w:t>
      </w:r>
      <w:r w:rsidR="00DA5047">
        <w:rPr>
          <w:rFonts w:cs="Arial"/>
        </w:rPr>
        <w:t>16</w:t>
      </w:r>
      <w:r w:rsidR="00692509" w:rsidRPr="00DB26C0">
        <w:rPr>
          <w:rFonts w:cs="Arial"/>
        </w:rPr>
        <w:t>).</w:t>
      </w:r>
      <w:r w:rsidR="004A700B" w:rsidRPr="00DB26C0">
        <w:rPr>
          <w:rFonts w:cs="Arial"/>
        </w:rPr>
        <w:t xml:space="preserve"> The </w:t>
      </w:r>
      <w:r w:rsidR="00692509" w:rsidRPr="00DB26C0">
        <w:rPr>
          <w:rFonts w:cs="Arial"/>
        </w:rPr>
        <w:t>HRA</w:t>
      </w:r>
      <w:r w:rsidR="00692509">
        <w:rPr>
          <w:rFonts w:cs="Arial"/>
        </w:rPr>
        <w:t xml:space="preserve"> </w:t>
      </w:r>
      <w:r w:rsidR="008E09D0">
        <w:rPr>
          <w:rFonts w:cs="Arial"/>
        </w:rPr>
        <w:t>working balance</w:t>
      </w:r>
      <w:r w:rsidR="009F2D09">
        <w:rPr>
          <w:rFonts w:cs="Arial"/>
        </w:rPr>
        <w:t xml:space="preserve"> remains a</w:t>
      </w:r>
      <w:r w:rsidR="008E09D0">
        <w:rPr>
          <w:rFonts w:cs="Arial"/>
        </w:rPr>
        <w:t xml:space="preserve">t </w:t>
      </w:r>
      <w:r w:rsidR="00F42C47">
        <w:rPr>
          <w:rFonts w:cs="Arial"/>
        </w:rPr>
        <w:t>£4 million</w:t>
      </w:r>
      <w:r>
        <w:rPr>
          <w:rFonts w:cs="Arial"/>
        </w:rPr>
        <w:t>;</w:t>
      </w:r>
    </w:p>
    <w:p w:rsidR="00A20074" w:rsidRDefault="00A20074" w:rsidP="00662A0F">
      <w:pPr>
        <w:numPr>
          <w:ilvl w:val="0"/>
          <w:numId w:val="2"/>
        </w:numPr>
        <w:rPr>
          <w:rFonts w:cs="Arial"/>
        </w:rPr>
      </w:pPr>
      <w:r w:rsidRPr="00A20074">
        <w:rPr>
          <w:rFonts w:cs="Arial"/>
          <w:b/>
        </w:rPr>
        <w:t>Capital Programme</w:t>
      </w:r>
      <w:r>
        <w:rPr>
          <w:rFonts w:cs="Arial"/>
        </w:rPr>
        <w:t xml:space="preserve"> – the outturn </w:t>
      </w:r>
      <w:r w:rsidR="004A700B">
        <w:rPr>
          <w:rFonts w:cs="Arial"/>
        </w:rPr>
        <w:t xml:space="preserve">spend </w:t>
      </w:r>
      <w:r w:rsidR="00DF72E5">
        <w:rPr>
          <w:rFonts w:cs="Arial"/>
        </w:rPr>
        <w:t xml:space="preserve">was </w:t>
      </w:r>
      <w:r w:rsidR="004A700B">
        <w:rPr>
          <w:rFonts w:cs="Arial"/>
        </w:rPr>
        <w:t xml:space="preserve"> </w:t>
      </w:r>
      <w:r w:rsidR="004A700B" w:rsidRPr="00367D46">
        <w:rPr>
          <w:rFonts w:cs="Arial"/>
        </w:rPr>
        <w:t>£</w:t>
      </w:r>
      <w:r w:rsidR="00367D46" w:rsidRPr="00367D46">
        <w:rPr>
          <w:rFonts w:cs="Arial"/>
        </w:rPr>
        <w:t>48.7</w:t>
      </w:r>
      <w:r w:rsidR="004A700B" w:rsidRPr="00367D46">
        <w:rPr>
          <w:rFonts w:cs="Arial"/>
        </w:rPr>
        <w:t xml:space="preserve"> million </w:t>
      </w:r>
      <w:r w:rsidR="00DF72E5" w:rsidRPr="00367D46">
        <w:rPr>
          <w:rFonts w:cs="Arial"/>
        </w:rPr>
        <w:t>(</w:t>
      </w:r>
      <w:r w:rsidR="00E406B1" w:rsidRPr="00367D46">
        <w:rPr>
          <w:rFonts w:cs="Arial"/>
        </w:rPr>
        <w:t>9</w:t>
      </w:r>
      <w:r w:rsidR="00367D46" w:rsidRPr="00367D46">
        <w:rPr>
          <w:rFonts w:cs="Arial"/>
        </w:rPr>
        <w:t>7</w:t>
      </w:r>
      <w:r w:rsidRPr="00367D46">
        <w:rPr>
          <w:rFonts w:cs="Arial"/>
        </w:rPr>
        <w:t>% of the latest budget</w:t>
      </w:r>
      <w:r w:rsidR="00367D46" w:rsidRPr="00367D46">
        <w:rPr>
          <w:rFonts w:cs="Arial"/>
        </w:rPr>
        <w:t xml:space="preserve"> and 77% of the original budget plus </w:t>
      </w:r>
      <w:r w:rsidR="006651D3">
        <w:rPr>
          <w:rFonts w:cs="Arial"/>
        </w:rPr>
        <w:t xml:space="preserve">prior year </w:t>
      </w:r>
      <w:r w:rsidR="00367D46" w:rsidRPr="00367D46">
        <w:rPr>
          <w:rFonts w:cs="Arial"/>
        </w:rPr>
        <w:t>carry forwards</w:t>
      </w:r>
      <w:r w:rsidR="00DF72E5" w:rsidRPr="00367D46">
        <w:rPr>
          <w:rFonts w:cs="Arial"/>
        </w:rPr>
        <w:t>)</w:t>
      </w:r>
      <w:r w:rsidRPr="00367D46">
        <w:rPr>
          <w:rFonts w:cs="Arial"/>
        </w:rPr>
        <w:t>;</w:t>
      </w:r>
    </w:p>
    <w:p w:rsidR="00A20074" w:rsidRPr="006B6C43" w:rsidRDefault="00A20074" w:rsidP="00662A0F">
      <w:pPr>
        <w:numPr>
          <w:ilvl w:val="0"/>
          <w:numId w:val="2"/>
        </w:numPr>
        <w:rPr>
          <w:rFonts w:cs="Arial"/>
        </w:rPr>
      </w:pPr>
      <w:r w:rsidRPr="006B6C43">
        <w:rPr>
          <w:rFonts w:cs="Arial"/>
          <w:b/>
        </w:rPr>
        <w:t>Performance</w:t>
      </w:r>
      <w:r w:rsidRPr="006B6C43">
        <w:rPr>
          <w:rFonts w:cs="Arial"/>
        </w:rPr>
        <w:t xml:space="preserve"> – </w:t>
      </w:r>
      <w:r w:rsidR="005E0B00" w:rsidRPr="006B6C43">
        <w:rPr>
          <w:rFonts w:cs="Arial"/>
        </w:rPr>
        <w:t>7</w:t>
      </w:r>
      <w:r w:rsidR="006B6C43" w:rsidRPr="006B6C43">
        <w:rPr>
          <w:rFonts w:cs="Arial"/>
        </w:rPr>
        <w:t>0</w:t>
      </w:r>
      <w:r w:rsidRPr="006B6C43">
        <w:rPr>
          <w:rFonts w:cs="Arial"/>
        </w:rPr>
        <w:t>% of Corporate performance</w:t>
      </w:r>
      <w:r w:rsidRPr="006B6C43">
        <w:t xml:space="preserve"> </w:t>
      </w:r>
      <w:r w:rsidRPr="006B6C43">
        <w:rPr>
          <w:rFonts w:cs="Arial"/>
        </w:rPr>
        <w:t>targets were either delivered as planned or were exceeded</w:t>
      </w:r>
      <w:r w:rsidR="006B6C43" w:rsidRPr="006B6C43">
        <w:rPr>
          <w:rFonts w:cs="Arial"/>
        </w:rPr>
        <w:t xml:space="preserve"> with 25% not meeting their target and 5% with no data</w:t>
      </w:r>
      <w:r w:rsidRPr="006B6C43">
        <w:rPr>
          <w:rFonts w:cs="Arial"/>
        </w:rPr>
        <w:t>; individual service area performance is detailed in Appendices A to D;</w:t>
      </w:r>
    </w:p>
    <w:p w:rsidR="00A20074" w:rsidRPr="006B6C43" w:rsidRDefault="00A20074" w:rsidP="00662A0F">
      <w:pPr>
        <w:numPr>
          <w:ilvl w:val="0"/>
          <w:numId w:val="2"/>
        </w:numPr>
        <w:rPr>
          <w:rFonts w:cs="Arial"/>
        </w:rPr>
      </w:pPr>
      <w:r w:rsidRPr="006B6C43">
        <w:rPr>
          <w:rFonts w:cs="Arial"/>
          <w:b/>
        </w:rPr>
        <w:t xml:space="preserve">Risk Management </w:t>
      </w:r>
      <w:r w:rsidRPr="006B6C43">
        <w:rPr>
          <w:rFonts w:cs="Arial"/>
        </w:rPr>
        <w:t>– there were no red risks outstanding at the year end</w:t>
      </w:r>
      <w:r w:rsidR="008225BA">
        <w:rPr>
          <w:rFonts w:cs="Arial"/>
        </w:rPr>
        <w:t xml:space="preserve">, however there were 5 amber risks which are listed at paragraph </w:t>
      </w:r>
      <w:r w:rsidR="00DA5047">
        <w:rPr>
          <w:rFonts w:cs="Arial"/>
        </w:rPr>
        <w:t xml:space="preserve">27 </w:t>
      </w:r>
      <w:r w:rsidR="008225BA">
        <w:rPr>
          <w:rFonts w:cs="Arial"/>
        </w:rPr>
        <w:t>and detailed in Appendix A</w:t>
      </w:r>
      <w:r w:rsidR="009B2610" w:rsidRPr="006B6C43">
        <w:rPr>
          <w:rFonts w:cs="Arial"/>
        </w:rPr>
        <w:t>.</w:t>
      </w:r>
    </w:p>
    <w:p w:rsidR="00A20074" w:rsidRDefault="00A20074" w:rsidP="00A65250">
      <w:pPr>
        <w:rPr>
          <w:rFonts w:cs="Arial"/>
        </w:rPr>
      </w:pPr>
    </w:p>
    <w:p w:rsidR="00EF7125" w:rsidRDefault="004331BA" w:rsidP="002D3856">
      <w:pPr>
        <w:rPr>
          <w:rFonts w:cs="Arial"/>
        </w:rPr>
      </w:pPr>
      <w:r w:rsidRPr="004331BA">
        <w:rPr>
          <w:rFonts w:cs="Arial"/>
          <w:b/>
        </w:rPr>
        <w:t>Background</w:t>
      </w:r>
    </w:p>
    <w:p w:rsidR="004331BA" w:rsidRDefault="004331BA" w:rsidP="004331BA">
      <w:pPr>
        <w:rPr>
          <w:rFonts w:cs="Arial"/>
        </w:rPr>
      </w:pPr>
    </w:p>
    <w:p w:rsidR="004331BA" w:rsidRDefault="00A65250" w:rsidP="00662A0F">
      <w:pPr>
        <w:numPr>
          <w:ilvl w:val="0"/>
          <w:numId w:val="1"/>
        </w:numPr>
        <w:ind w:left="426" w:hanging="426"/>
        <w:rPr>
          <w:rFonts w:cs="Arial"/>
        </w:rPr>
      </w:pPr>
      <w:r>
        <w:rPr>
          <w:rFonts w:cs="Arial"/>
        </w:rPr>
        <w:t xml:space="preserve">Finance, Performance and Risk </w:t>
      </w:r>
      <w:r w:rsidR="009563A3">
        <w:rPr>
          <w:rFonts w:cs="Arial"/>
        </w:rPr>
        <w:t>information is</w:t>
      </w:r>
      <w:r>
        <w:rPr>
          <w:rFonts w:cs="Arial"/>
        </w:rPr>
        <w:t xml:space="preserve"> reported in an integrated format to City Executive Board </w:t>
      </w:r>
      <w:r w:rsidR="009D3FFE">
        <w:rPr>
          <w:rFonts w:cs="Arial"/>
        </w:rPr>
        <w:t>on a quarterly basis.</w:t>
      </w:r>
    </w:p>
    <w:p w:rsidR="00A65250" w:rsidRDefault="00A65250" w:rsidP="00A65250">
      <w:pPr>
        <w:ind w:left="426"/>
        <w:rPr>
          <w:rFonts w:cs="Arial"/>
        </w:rPr>
      </w:pPr>
    </w:p>
    <w:p w:rsidR="00A65250" w:rsidRDefault="009563A3" w:rsidP="00662A0F">
      <w:pPr>
        <w:numPr>
          <w:ilvl w:val="0"/>
          <w:numId w:val="1"/>
        </w:numPr>
        <w:ind w:left="426" w:hanging="426"/>
        <w:rPr>
          <w:rFonts w:cs="Arial"/>
        </w:rPr>
      </w:pPr>
      <w:r>
        <w:rPr>
          <w:rFonts w:cs="Arial"/>
        </w:rPr>
        <w:t xml:space="preserve">Reports as at </w:t>
      </w:r>
      <w:r w:rsidR="009D3FFE">
        <w:rPr>
          <w:rFonts w:cs="Arial"/>
        </w:rPr>
        <w:t>31</w:t>
      </w:r>
      <w:r w:rsidR="009D3FFE" w:rsidRPr="00E9623A">
        <w:rPr>
          <w:rFonts w:cs="Arial"/>
          <w:vertAlign w:val="superscript"/>
        </w:rPr>
        <w:t>st</w:t>
      </w:r>
      <w:r w:rsidR="009D3FFE">
        <w:rPr>
          <w:rFonts w:cs="Arial"/>
        </w:rPr>
        <w:t xml:space="preserve"> March </w:t>
      </w:r>
      <w:r w:rsidR="00A65250">
        <w:rPr>
          <w:rFonts w:cs="Arial"/>
        </w:rPr>
        <w:t>201</w:t>
      </w:r>
      <w:r>
        <w:rPr>
          <w:rFonts w:cs="Arial"/>
        </w:rPr>
        <w:t>5</w:t>
      </w:r>
      <w:r w:rsidR="00A65250">
        <w:rPr>
          <w:rFonts w:cs="Arial"/>
        </w:rPr>
        <w:t xml:space="preserve"> are attached at Appendices A to </w:t>
      </w:r>
      <w:r>
        <w:rPr>
          <w:rFonts w:cs="Arial"/>
        </w:rPr>
        <w:t>E</w:t>
      </w:r>
      <w:r w:rsidR="00A65250">
        <w:rPr>
          <w:rFonts w:cs="Arial"/>
        </w:rPr>
        <w:t xml:space="preserve">.  The reports </w:t>
      </w:r>
      <w:r w:rsidR="00CD5518">
        <w:rPr>
          <w:rFonts w:cs="Arial"/>
        </w:rPr>
        <w:t>use</w:t>
      </w:r>
      <w:r w:rsidR="007154CE">
        <w:rPr>
          <w:rFonts w:cs="Arial"/>
        </w:rPr>
        <w:t xml:space="preserve"> a Red, Amber</w:t>
      </w:r>
      <w:r w:rsidR="00A65250">
        <w:rPr>
          <w:rFonts w:cs="Arial"/>
        </w:rPr>
        <w:t xml:space="preserve"> and Green </w:t>
      </w:r>
      <w:r w:rsidR="00CD5518">
        <w:rPr>
          <w:rFonts w:cs="Arial"/>
        </w:rPr>
        <w:t xml:space="preserve">(RAG) </w:t>
      </w:r>
      <w:r w:rsidR="00A65250">
        <w:rPr>
          <w:rFonts w:cs="Arial"/>
        </w:rPr>
        <w:t>reporting methodology.</w:t>
      </w:r>
      <w:r w:rsidR="00CD5518">
        <w:rPr>
          <w:rFonts w:cs="Arial"/>
        </w:rPr>
        <w:t xml:space="preserve">  These reports are available to Members online via the intranet.</w:t>
      </w:r>
    </w:p>
    <w:p w:rsidR="00523C31" w:rsidRDefault="00523C31" w:rsidP="00DC4CD4">
      <w:pPr>
        <w:rPr>
          <w:rFonts w:cs="Arial"/>
        </w:rPr>
      </w:pPr>
    </w:p>
    <w:p w:rsidR="001F3FA7" w:rsidRPr="001F3FA7" w:rsidRDefault="001F3FA7" w:rsidP="00DC4CD4">
      <w:pPr>
        <w:rPr>
          <w:rFonts w:cs="Arial"/>
          <w:b/>
        </w:rPr>
      </w:pPr>
      <w:r w:rsidRPr="001F3FA7">
        <w:rPr>
          <w:rFonts w:cs="Arial"/>
          <w:b/>
        </w:rPr>
        <w:t>Financial Dials</w:t>
      </w:r>
    </w:p>
    <w:p w:rsidR="00CE3DFC" w:rsidRPr="00387A11" w:rsidRDefault="00CE3DFC" w:rsidP="00C73655">
      <w:pPr>
        <w:rPr>
          <w:rFonts w:cs="Arial"/>
        </w:rPr>
      </w:pPr>
    </w:p>
    <w:p w:rsidR="004F74DE" w:rsidRDefault="004F74DE" w:rsidP="00662A0F">
      <w:pPr>
        <w:numPr>
          <w:ilvl w:val="0"/>
          <w:numId w:val="1"/>
        </w:numPr>
        <w:tabs>
          <w:tab w:val="left" w:pos="426"/>
        </w:tabs>
        <w:ind w:left="426" w:hanging="426"/>
        <w:rPr>
          <w:rFonts w:eastAsia="Calibri" w:cs="Arial"/>
        </w:rPr>
      </w:pPr>
      <w:r w:rsidRPr="00DE5CF6">
        <w:rPr>
          <w:rFonts w:eastAsia="Calibri" w:cs="Arial"/>
        </w:rPr>
        <w:t>The following tolerances apply to the financial dials</w:t>
      </w:r>
      <w:r>
        <w:rPr>
          <w:rFonts w:eastAsia="Calibri" w:cs="Arial"/>
        </w:rPr>
        <w:t xml:space="preserve"> in the summary reports</w:t>
      </w:r>
      <w:r w:rsidRPr="00DE5CF6">
        <w:rPr>
          <w:rFonts w:eastAsia="Calibri" w:cs="Arial"/>
        </w:rPr>
        <w:t>:</w:t>
      </w:r>
    </w:p>
    <w:p w:rsidR="004F74DE" w:rsidRPr="00DE5CF6" w:rsidRDefault="004F74DE" w:rsidP="00DB6773">
      <w:pPr>
        <w:tabs>
          <w:tab w:val="left" w:pos="426"/>
          <w:tab w:val="left" w:pos="1134"/>
          <w:tab w:val="left" w:pos="1560"/>
        </w:tabs>
        <w:ind w:left="426"/>
        <w:rPr>
          <w:rFonts w:eastAsia="Calibri" w:cs="Arial"/>
        </w:rPr>
      </w:pPr>
      <w:r w:rsidRPr="00DE5CF6">
        <w:rPr>
          <w:rFonts w:eastAsia="Calibri" w:cs="Arial"/>
          <w:b/>
        </w:rPr>
        <w:t>Green</w:t>
      </w:r>
      <w:r w:rsidR="00DB6773">
        <w:rPr>
          <w:rFonts w:eastAsia="Calibri" w:cs="Arial"/>
          <w:b/>
        </w:rPr>
        <w:t xml:space="preserve"> </w:t>
      </w:r>
      <w:r w:rsidR="00DB6773">
        <w:rPr>
          <w:rFonts w:eastAsia="Calibri" w:cs="Arial"/>
        </w:rPr>
        <w:t>–</w:t>
      </w:r>
      <w:r w:rsidRPr="00DE5CF6">
        <w:rPr>
          <w:rFonts w:eastAsia="Calibri" w:cs="Arial"/>
        </w:rPr>
        <w:t xml:space="preserve"> Forecast</w:t>
      </w:r>
      <w:r w:rsidR="00DB6773">
        <w:rPr>
          <w:rFonts w:eastAsia="Calibri" w:cs="Arial"/>
        </w:rPr>
        <w:t xml:space="preserve"> </w:t>
      </w:r>
      <w:r w:rsidRPr="00DE5CF6">
        <w:rPr>
          <w:rFonts w:eastAsia="Calibri" w:cs="Arial"/>
        </w:rPr>
        <w:t>outturn is within 100% of the latest approved budget</w:t>
      </w:r>
      <w:r>
        <w:rPr>
          <w:rFonts w:eastAsia="Calibri" w:cs="Arial"/>
        </w:rPr>
        <w:t>.</w:t>
      </w:r>
    </w:p>
    <w:p w:rsidR="004F74DE" w:rsidRPr="00DE5CF6" w:rsidRDefault="004F74DE" w:rsidP="00DB6773">
      <w:pPr>
        <w:tabs>
          <w:tab w:val="left" w:pos="426"/>
          <w:tab w:val="left" w:pos="1134"/>
          <w:tab w:val="left" w:pos="1560"/>
        </w:tabs>
        <w:ind w:left="426"/>
        <w:rPr>
          <w:rFonts w:eastAsia="Calibri" w:cs="Arial"/>
        </w:rPr>
      </w:pPr>
      <w:r w:rsidRPr="00DE5CF6">
        <w:rPr>
          <w:rFonts w:eastAsia="Calibri" w:cs="Arial"/>
          <w:b/>
        </w:rPr>
        <w:t>Amber</w:t>
      </w:r>
      <w:r w:rsidR="00DB6773">
        <w:rPr>
          <w:rFonts w:eastAsia="Calibri" w:cs="Arial"/>
          <w:b/>
        </w:rPr>
        <w:t xml:space="preserve"> </w:t>
      </w:r>
      <w:r w:rsidR="00DB6773">
        <w:rPr>
          <w:rFonts w:eastAsia="Calibri" w:cs="Arial"/>
        </w:rPr>
        <w:t>–</w:t>
      </w:r>
      <w:r w:rsidRPr="00DE5CF6">
        <w:rPr>
          <w:rFonts w:eastAsia="Calibri" w:cs="Arial"/>
        </w:rPr>
        <w:t xml:space="preserve"> Forecast</w:t>
      </w:r>
      <w:r w:rsidR="00DB6773">
        <w:rPr>
          <w:rFonts w:eastAsia="Calibri" w:cs="Arial"/>
        </w:rPr>
        <w:t xml:space="preserve"> </w:t>
      </w:r>
      <w:r w:rsidRPr="00DE5CF6">
        <w:rPr>
          <w:rFonts w:eastAsia="Calibri" w:cs="Arial"/>
        </w:rPr>
        <w:t>outturn is within 100% - 105% of the latest approved budget</w:t>
      </w:r>
      <w:r>
        <w:rPr>
          <w:rFonts w:eastAsia="Calibri" w:cs="Arial"/>
        </w:rPr>
        <w:t>.</w:t>
      </w:r>
    </w:p>
    <w:p w:rsidR="004F74DE" w:rsidRDefault="004F74DE" w:rsidP="00DB6773">
      <w:pPr>
        <w:tabs>
          <w:tab w:val="left" w:pos="426"/>
          <w:tab w:val="left" w:pos="1134"/>
          <w:tab w:val="left" w:pos="1560"/>
        </w:tabs>
        <w:ind w:left="426"/>
        <w:rPr>
          <w:rFonts w:eastAsia="Calibri" w:cs="Arial"/>
        </w:rPr>
      </w:pPr>
      <w:r w:rsidRPr="00DE5CF6">
        <w:rPr>
          <w:rFonts w:eastAsia="Calibri" w:cs="Arial"/>
          <w:b/>
        </w:rPr>
        <w:t>Red</w:t>
      </w:r>
      <w:r w:rsidR="00DB6773">
        <w:rPr>
          <w:rFonts w:eastAsia="Calibri" w:cs="Arial"/>
          <w:b/>
        </w:rPr>
        <w:t xml:space="preserve"> </w:t>
      </w:r>
      <w:r w:rsidR="00DB6773">
        <w:rPr>
          <w:rFonts w:eastAsia="Calibri" w:cs="Arial"/>
        </w:rPr>
        <w:t>–</w:t>
      </w:r>
      <w:r w:rsidRPr="00DE5CF6">
        <w:rPr>
          <w:rFonts w:eastAsia="Calibri" w:cs="Arial"/>
        </w:rPr>
        <w:t xml:space="preserve"> Forecast</w:t>
      </w:r>
      <w:r w:rsidR="00DB6773">
        <w:rPr>
          <w:rFonts w:eastAsia="Calibri" w:cs="Arial"/>
        </w:rPr>
        <w:t xml:space="preserve"> </w:t>
      </w:r>
      <w:r w:rsidRPr="00DE5CF6">
        <w:rPr>
          <w:rFonts w:eastAsia="Calibri" w:cs="Arial"/>
        </w:rPr>
        <w:t>outturn is over 105% of the latest approved budget.  Performance in this area is a potential concern and will be commented on within the report</w:t>
      </w:r>
      <w:r>
        <w:rPr>
          <w:rFonts w:eastAsia="Calibri" w:cs="Arial"/>
        </w:rPr>
        <w:t>.</w:t>
      </w:r>
    </w:p>
    <w:p w:rsidR="004F74DE" w:rsidRDefault="004F74DE" w:rsidP="004F74DE">
      <w:pPr>
        <w:ind w:left="426"/>
        <w:rPr>
          <w:rFonts w:cs="Arial"/>
        </w:rPr>
      </w:pPr>
    </w:p>
    <w:p w:rsidR="000A2EF0" w:rsidRPr="000A2EF0" w:rsidRDefault="000A2EF0" w:rsidP="000A2EF0">
      <w:pPr>
        <w:rPr>
          <w:rFonts w:cs="Arial"/>
          <w:b/>
        </w:rPr>
      </w:pPr>
      <w:r>
        <w:rPr>
          <w:rFonts w:cs="Arial"/>
          <w:b/>
        </w:rPr>
        <w:t>General Fund Revenue</w:t>
      </w:r>
      <w:r w:rsidR="00922EBF">
        <w:rPr>
          <w:rFonts w:cs="Arial"/>
          <w:b/>
        </w:rPr>
        <w:t xml:space="preserve"> Variance</w:t>
      </w:r>
    </w:p>
    <w:p w:rsidR="00DF2670" w:rsidRPr="00367D46" w:rsidRDefault="00B17F83" w:rsidP="00922EBF">
      <w:pPr>
        <w:ind w:left="426" w:hanging="426"/>
      </w:pPr>
      <w:r>
        <w:rPr>
          <w:rFonts w:cs="Arial"/>
        </w:rPr>
        <w:t>5</w:t>
      </w:r>
      <w:r w:rsidR="00922EBF" w:rsidRPr="00367D46">
        <w:rPr>
          <w:rFonts w:cs="Arial"/>
        </w:rPr>
        <w:tab/>
      </w:r>
      <w:r w:rsidR="00DB6773" w:rsidRPr="00367D46">
        <w:rPr>
          <w:rFonts w:cs="Arial"/>
        </w:rPr>
        <w:t xml:space="preserve">After taking account of general transfers to / from earmarked reserves (for unspent grants, </w:t>
      </w:r>
      <w:r w:rsidR="007154CE" w:rsidRPr="00367D46">
        <w:rPr>
          <w:rFonts w:cs="Arial"/>
        </w:rPr>
        <w:t>ring-fenced</w:t>
      </w:r>
      <w:r w:rsidR="00DB6773" w:rsidRPr="00367D46">
        <w:rPr>
          <w:rFonts w:cs="Arial"/>
        </w:rPr>
        <w:t xml:space="preserve"> accounts, etc.), the </w:t>
      </w:r>
      <w:r w:rsidR="001D1CE1" w:rsidRPr="00367D46">
        <w:rPr>
          <w:rFonts w:cs="Arial"/>
        </w:rPr>
        <w:t xml:space="preserve">General Fund </w:t>
      </w:r>
      <w:r w:rsidR="00DB6773" w:rsidRPr="00367D46">
        <w:rPr>
          <w:rFonts w:cs="Arial"/>
        </w:rPr>
        <w:t>is showing a favourable variance against budget of £</w:t>
      </w:r>
      <w:r w:rsidR="00367D46" w:rsidRPr="00367D46">
        <w:rPr>
          <w:rFonts w:cs="Arial"/>
        </w:rPr>
        <w:t>1</w:t>
      </w:r>
      <w:r w:rsidR="00DB6773" w:rsidRPr="00367D46">
        <w:rPr>
          <w:rFonts w:cs="Arial"/>
        </w:rPr>
        <w:t>.</w:t>
      </w:r>
      <w:r w:rsidR="00367D46" w:rsidRPr="00367D46">
        <w:rPr>
          <w:rFonts w:cs="Arial"/>
        </w:rPr>
        <w:t>808</w:t>
      </w:r>
      <w:r w:rsidR="00DB6773" w:rsidRPr="00367D46">
        <w:rPr>
          <w:rFonts w:cs="Arial"/>
        </w:rPr>
        <w:t xml:space="preserve"> million</w:t>
      </w:r>
      <w:r w:rsidR="00367D46" w:rsidRPr="00367D46">
        <w:rPr>
          <w:rFonts w:cs="Arial"/>
        </w:rPr>
        <w:t xml:space="preserve"> which is considered in more detail in appendices A to D</w:t>
      </w:r>
      <w:r w:rsidR="00DB6773" w:rsidRPr="00367D46">
        <w:rPr>
          <w:rFonts w:cs="Arial"/>
        </w:rPr>
        <w:t xml:space="preserve">.  </w:t>
      </w:r>
      <w:r w:rsidR="00367D46" w:rsidRPr="00367D46">
        <w:rPr>
          <w:rFonts w:cs="Arial"/>
        </w:rPr>
        <w:t xml:space="preserve">£1.678 million relates to service variances and £0.130 million to a corporate </w:t>
      </w:r>
      <w:r w:rsidR="00A97EDB" w:rsidRPr="00367D46">
        <w:rPr>
          <w:rFonts w:cs="Arial"/>
        </w:rPr>
        <w:t xml:space="preserve">variance </w:t>
      </w:r>
      <w:r w:rsidR="0021359E">
        <w:rPr>
          <w:rFonts w:cs="Arial"/>
        </w:rPr>
        <w:t xml:space="preserve">around </w:t>
      </w:r>
      <w:r w:rsidR="00367D46" w:rsidRPr="00367D46">
        <w:rPr>
          <w:rFonts w:cs="Arial"/>
        </w:rPr>
        <w:t>pension costs.</w:t>
      </w:r>
    </w:p>
    <w:p w:rsidR="004A700B" w:rsidRPr="00367D46" w:rsidRDefault="004A700B" w:rsidP="007C6046">
      <w:pPr>
        <w:rPr>
          <w:rFonts w:cs="Arial"/>
        </w:rPr>
      </w:pPr>
    </w:p>
    <w:p w:rsidR="007154CE" w:rsidRDefault="00B17F83" w:rsidP="00B17F83">
      <w:pPr>
        <w:ind w:left="426" w:hanging="426"/>
        <w:rPr>
          <w:rFonts w:cs="Arial"/>
        </w:rPr>
      </w:pPr>
      <w:r>
        <w:rPr>
          <w:rFonts w:cs="Arial"/>
        </w:rPr>
        <w:t>6.</w:t>
      </w:r>
      <w:r>
        <w:rPr>
          <w:rFonts w:cs="Arial"/>
        </w:rPr>
        <w:tab/>
      </w:r>
      <w:r w:rsidR="006B6534">
        <w:rPr>
          <w:rFonts w:cs="Arial"/>
        </w:rPr>
        <w:t>A</w:t>
      </w:r>
      <w:r w:rsidR="00367D46" w:rsidRPr="00367D46">
        <w:rPr>
          <w:rFonts w:cs="Arial"/>
        </w:rPr>
        <w:t xml:space="preserve">ny </w:t>
      </w:r>
      <w:r w:rsidR="00EF18E8" w:rsidRPr="00367D46">
        <w:rPr>
          <w:rFonts w:cs="Arial"/>
        </w:rPr>
        <w:t xml:space="preserve">of these variances </w:t>
      </w:r>
      <w:r w:rsidR="006B6534">
        <w:rPr>
          <w:rFonts w:cs="Arial"/>
        </w:rPr>
        <w:t xml:space="preserve">that </w:t>
      </w:r>
      <w:r w:rsidR="00367D46" w:rsidRPr="00367D46">
        <w:rPr>
          <w:rFonts w:cs="Arial"/>
        </w:rPr>
        <w:t xml:space="preserve">are on-going and have not </w:t>
      </w:r>
      <w:r w:rsidR="006B6534">
        <w:rPr>
          <w:rFonts w:cs="Arial"/>
        </w:rPr>
        <w:t xml:space="preserve">yet </w:t>
      </w:r>
      <w:r w:rsidR="00367D46" w:rsidRPr="00367D46">
        <w:rPr>
          <w:rFonts w:cs="Arial"/>
        </w:rPr>
        <w:t xml:space="preserve">been included in the budget for 2015/16 </w:t>
      </w:r>
      <w:r w:rsidR="00EF18E8" w:rsidRPr="00367D46">
        <w:rPr>
          <w:rFonts w:cs="Arial"/>
        </w:rPr>
        <w:t xml:space="preserve">will be picked up as part of the refresh of the Medium Term Financial Plan </w:t>
      </w:r>
      <w:r w:rsidR="006B6534">
        <w:rPr>
          <w:rFonts w:cs="Arial"/>
        </w:rPr>
        <w:t>later in the year</w:t>
      </w:r>
      <w:r w:rsidR="00EF18E8" w:rsidRPr="00367D46">
        <w:rPr>
          <w:rFonts w:cs="Arial"/>
        </w:rPr>
        <w:t>.</w:t>
      </w:r>
    </w:p>
    <w:p w:rsidR="00EF18E8" w:rsidRPr="00EF18E8" w:rsidRDefault="00EF18E8" w:rsidP="007C6046">
      <w:pPr>
        <w:rPr>
          <w:rFonts w:cs="Arial"/>
        </w:rPr>
      </w:pPr>
    </w:p>
    <w:p w:rsidR="007C6046" w:rsidRPr="007C6046" w:rsidRDefault="007C6046" w:rsidP="007C6046">
      <w:pPr>
        <w:rPr>
          <w:rFonts w:cs="Arial"/>
          <w:b/>
        </w:rPr>
      </w:pPr>
      <w:r w:rsidRPr="007C6046">
        <w:rPr>
          <w:rFonts w:cs="Arial"/>
          <w:b/>
        </w:rPr>
        <w:t>General Fund Earmarked Reserves</w:t>
      </w:r>
      <w:r w:rsidR="002853B4">
        <w:rPr>
          <w:rFonts w:cs="Arial"/>
          <w:b/>
        </w:rPr>
        <w:t xml:space="preserve"> and Working Balances</w:t>
      </w:r>
    </w:p>
    <w:p w:rsidR="000A2EF0" w:rsidRPr="00B17F83" w:rsidRDefault="00B17F83" w:rsidP="00B17F83">
      <w:pPr>
        <w:pStyle w:val="ListParagraph"/>
        <w:ind w:left="719" w:hanging="719"/>
        <w:rPr>
          <w:rFonts w:cs="Arial"/>
        </w:rPr>
      </w:pPr>
      <w:r w:rsidRPr="00B17F83">
        <w:rPr>
          <w:rFonts w:cs="Arial"/>
        </w:rPr>
        <w:t>7</w:t>
      </w:r>
      <w:r>
        <w:rPr>
          <w:rFonts w:cs="Arial"/>
        </w:rPr>
        <w:t>.</w:t>
      </w:r>
      <w:r>
        <w:rPr>
          <w:rFonts w:cs="Arial"/>
        </w:rPr>
        <w:tab/>
      </w:r>
      <w:r w:rsidR="00693ED6" w:rsidRPr="00B17F83">
        <w:rPr>
          <w:rFonts w:cs="Arial"/>
        </w:rPr>
        <w:t>Please note</w:t>
      </w:r>
      <w:r w:rsidR="00D3500F" w:rsidRPr="00B17F83">
        <w:rPr>
          <w:rFonts w:cs="Arial"/>
        </w:rPr>
        <w:t xml:space="preserve"> that </w:t>
      </w:r>
      <w:r w:rsidR="00693ED6" w:rsidRPr="00B17F83">
        <w:rPr>
          <w:rFonts w:cs="Arial"/>
        </w:rPr>
        <w:t>the year</w:t>
      </w:r>
      <w:r w:rsidR="000B2944" w:rsidRPr="00B17F83">
        <w:rPr>
          <w:rFonts w:cs="Arial"/>
        </w:rPr>
        <w:t>-</w:t>
      </w:r>
      <w:r w:rsidR="00693ED6" w:rsidRPr="00B17F83">
        <w:rPr>
          <w:rFonts w:cs="Arial"/>
        </w:rPr>
        <w:t>end</w:t>
      </w:r>
      <w:r w:rsidR="00D3500F" w:rsidRPr="00B17F83">
        <w:rPr>
          <w:rFonts w:cs="Arial"/>
        </w:rPr>
        <w:t xml:space="preserve"> variance</w:t>
      </w:r>
      <w:r w:rsidR="00955A2E" w:rsidRPr="00B17F83">
        <w:rPr>
          <w:rFonts w:cs="Arial"/>
        </w:rPr>
        <w:t xml:space="preserve"> </w:t>
      </w:r>
      <w:r w:rsidR="008C4475" w:rsidRPr="00B17F83">
        <w:rPr>
          <w:rFonts w:cs="Arial"/>
        </w:rPr>
        <w:t xml:space="preserve">of £1.808 million </w:t>
      </w:r>
      <w:r w:rsidR="00955A2E" w:rsidRPr="00B17F83">
        <w:rPr>
          <w:rFonts w:cs="Arial"/>
        </w:rPr>
        <w:t>has been</w:t>
      </w:r>
      <w:r w:rsidR="00D3500F" w:rsidRPr="00B17F83">
        <w:rPr>
          <w:rFonts w:cs="Arial"/>
        </w:rPr>
        <w:t xml:space="preserve"> </w:t>
      </w:r>
      <w:r w:rsidR="00693ED6" w:rsidRPr="00B17F83">
        <w:rPr>
          <w:rFonts w:cs="Arial"/>
        </w:rPr>
        <w:t>transferred</w:t>
      </w:r>
      <w:r w:rsidR="006A5B5A" w:rsidRPr="00B17F83">
        <w:rPr>
          <w:rFonts w:cs="Arial"/>
        </w:rPr>
        <w:t xml:space="preserve"> to earmarked reserves as follows: -</w:t>
      </w:r>
    </w:p>
    <w:p w:rsidR="00922EBF" w:rsidRPr="00955A2E" w:rsidRDefault="00922EBF" w:rsidP="006A5B5A">
      <w:pPr>
        <w:ind w:left="426"/>
        <w:rPr>
          <w:rFonts w:cs="Arial"/>
        </w:rPr>
      </w:pPr>
    </w:p>
    <w:tbl>
      <w:tblPr>
        <w:tblW w:w="7564" w:type="dxa"/>
        <w:tblInd w:w="720" w:type="dxa"/>
        <w:tblLook w:val="04A0" w:firstRow="1" w:lastRow="0" w:firstColumn="1" w:lastColumn="0" w:noHBand="0" w:noVBand="1"/>
      </w:tblPr>
      <w:tblGrid>
        <w:gridCol w:w="5868"/>
        <w:gridCol w:w="1696"/>
      </w:tblGrid>
      <w:tr w:rsidR="00AB1A3D" w:rsidRPr="008C4475" w:rsidTr="00AB1A3D">
        <w:trPr>
          <w:trHeight w:val="300"/>
        </w:trPr>
        <w:tc>
          <w:tcPr>
            <w:tcW w:w="5868" w:type="dxa"/>
            <w:tcBorders>
              <w:top w:val="nil"/>
              <w:left w:val="nil"/>
              <w:bottom w:val="nil"/>
              <w:right w:val="nil"/>
            </w:tcBorders>
            <w:shd w:val="clear" w:color="auto" w:fill="auto"/>
            <w:noWrap/>
            <w:vAlign w:val="bottom"/>
            <w:hideMark/>
          </w:tcPr>
          <w:p w:rsidR="00AB1A3D" w:rsidRPr="008C4475" w:rsidRDefault="00AB1A3D" w:rsidP="00AB1A3D">
            <w:pPr>
              <w:rPr>
                <w:rFonts w:cs="Arial"/>
                <w:lang w:eastAsia="en-GB"/>
              </w:rPr>
            </w:pPr>
          </w:p>
        </w:tc>
        <w:tc>
          <w:tcPr>
            <w:tcW w:w="1696" w:type="dxa"/>
            <w:tcBorders>
              <w:top w:val="nil"/>
              <w:left w:val="nil"/>
              <w:bottom w:val="nil"/>
              <w:right w:val="nil"/>
            </w:tcBorders>
            <w:shd w:val="clear" w:color="auto" w:fill="auto"/>
            <w:noWrap/>
            <w:vAlign w:val="bottom"/>
            <w:hideMark/>
          </w:tcPr>
          <w:p w:rsidR="00AB1A3D" w:rsidRPr="008C4475" w:rsidRDefault="00AB1A3D" w:rsidP="00AB1A3D">
            <w:pPr>
              <w:jc w:val="center"/>
              <w:rPr>
                <w:rFonts w:cs="Arial"/>
                <w:lang w:eastAsia="en-GB"/>
              </w:rPr>
            </w:pPr>
            <w:r w:rsidRPr="008C4475">
              <w:rPr>
                <w:rFonts w:cs="Arial"/>
                <w:lang w:eastAsia="en-GB"/>
              </w:rPr>
              <w:t>£ million</w:t>
            </w:r>
          </w:p>
        </w:tc>
      </w:tr>
      <w:tr w:rsidR="00AB1A3D" w:rsidRPr="008C4475" w:rsidTr="00AB1A3D">
        <w:trPr>
          <w:trHeight w:val="300"/>
        </w:trPr>
        <w:tc>
          <w:tcPr>
            <w:tcW w:w="5868" w:type="dxa"/>
            <w:tcBorders>
              <w:top w:val="nil"/>
              <w:left w:val="nil"/>
              <w:bottom w:val="nil"/>
              <w:right w:val="nil"/>
            </w:tcBorders>
            <w:shd w:val="clear" w:color="auto" w:fill="auto"/>
            <w:noWrap/>
            <w:vAlign w:val="bottom"/>
            <w:hideMark/>
          </w:tcPr>
          <w:p w:rsidR="00AB1A3D" w:rsidRPr="008C4475" w:rsidRDefault="008C4475" w:rsidP="00AB1A3D">
            <w:pPr>
              <w:rPr>
                <w:rFonts w:cs="Arial"/>
                <w:lang w:eastAsia="en-GB"/>
              </w:rPr>
            </w:pPr>
            <w:proofErr w:type="spellStart"/>
            <w:r w:rsidRPr="008C4475">
              <w:rPr>
                <w:rFonts w:cs="Arial"/>
                <w:lang w:eastAsia="en-GB"/>
              </w:rPr>
              <w:t>Oxfutures</w:t>
            </w:r>
            <w:proofErr w:type="spellEnd"/>
            <w:r w:rsidRPr="008C4475">
              <w:rPr>
                <w:rFonts w:cs="Arial"/>
                <w:lang w:eastAsia="en-GB"/>
              </w:rPr>
              <w:t xml:space="preserve"> Reserve</w:t>
            </w:r>
            <w:r w:rsidR="00AB1A3D" w:rsidRPr="008C4475">
              <w:rPr>
                <w:rFonts w:cs="Arial"/>
                <w:lang w:eastAsia="en-GB"/>
              </w:rPr>
              <w:t xml:space="preserve"> *</w:t>
            </w:r>
          </w:p>
        </w:tc>
        <w:tc>
          <w:tcPr>
            <w:tcW w:w="1696" w:type="dxa"/>
            <w:tcBorders>
              <w:top w:val="nil"/>
              <w:left w:val="nil"/>
              <w:bottom w:val="nil"/>
              <w:right w:val="nil"/>
            </w:tcBorders>
            <w:shd w:val="clear" w:color="auto" w:fill="auto"/>
            <w:noWrap/>
            <w:vAlign w:val="bottom"/>
            <w:hideMark/>
          </w:tcPr>
          <w:p w:rsidR="00AB1A3D" w:rsidRPr="008C4475" w:rsidRDefault="00AB1A3D" w:rsidP="008C4475">
            <w:pPr>
              <w:jc w:val="right"/>
              <w:rPr>
                <w:rFonts w:cs="Arial"/>
                <w:lang w:eastAsia="en-GB"/>
              </w:rPr>
            </w:pPr>
            <w:r w:rsidRPr="008C4475">
              <w:rPr>
                <w:rFonts w:cs="Arial"/>
                <w:lang w:eastAsia="en-GB"/>
              </w:rPr>
              <w:t>0.</w:t>
            </w:r>
            <w:r w:rsidR="008C4475" w:rsidRPr="008C4475">
              <w:rPr>
                <w:rFonts w:cs="Arial"/>
                <w:lang w:eastAsia="en-GB"/>
              </w:rPr>
              <w:t>3</w:t>
            </w:r>
            <w:r w:rsidRPr="008C4475">
              <w:rPr>
                <w:rFonts w:cs="Arial"/>
                <w:lang w:eastAsia="en-GB"/>
              </w:rPr>
              <w:t>00</w:t>
            </w:r>
          </w:p>
        </w:tc>
      </w:tr>
      <w:tr w:rsidR="00AB1A3D" w:rsidRPr="008C4475" w:rsidTr="00AB1A3D">
        <w:trPr>
          <w:trHeight w:val="300"/>
        </w:trPr>
        <w:tc>
          <w:tcPr>
            <w:tcW w:w="5868" w:type="dxa"/>
            <w:tcBorders>
              <w:top w:val="nil"/>
              <w:left w:val="nil"/>
              <w:bottom w:val="nil"/>
              <w:right w:val="nil"/>
            </w:tcBorders>
            <w:shd w:val="clear" w:color="auto" w:fill="auto"/>
            <w:noWrap/>
            <w:vAlign w:val="bottom"/>
            <w:hideMark/>
          </w:tcPr>
          <w:p w:rsidR="00AB1A3D" w:rsidRPr="008C4475" w:rsidRDefault="008C4475" w:rsidP="008C4475">
            <w:pPr>
              <w:rPr>
                <w:rFonts w:cs="Arial"/>
                <w:lang w:eastAsia="en-GB"/>
              </w:rPr>
            </w:pPr>
            <w:r w:rsidRPr="008C4475">
              <w:rPr>
                <w:rFonts w:cs="Arial"/>
                <w:lang w:eastAsia="en-GB"/>
              </w:rPr>
              <w:t xml:space="preserve">Dry </w:t>
            </w:r>
            <w:proofErr w:type="spellStart"/>
            <w:r w:rsidRPr="008C4475">
              <w:rPr>
                <w:rFonts w:cs="Arial"/>
                <w:lang w:eastAsia="en-GB"/>
              </w:rPr>
              <w:t>Recyclate</w:t>
            </w:r>
            <w:proofErr w:type="spellEnd"/>
            <w:r w:rsidRPr="008C4475">
              <w:rPr>
                <w:rFonts w:cs="Arial"/>
                <w:lang w:eastAsia="en-GB"/>
              </w:rPr>
              <w:t xml:space="preserve"> Reserve</w:t>
            </w:r>
            <w:r w:rsidR="00AB1A3D" w:rsidRPr="008C4475">
              <w:rPr>
                <w:rFonts w:cs="Arial"/>
                <w:lang w:eastAsia="en-GB"/>
              </w:rPr>
              <w:t xml:space="preserve"> **</w:t>
            </w:r>
          </w:p>
        </w:tc>
        <w:tc>
          <w:tcPr>
            <w:tcW w:w="1696" w:type="dxa"/>
            <w:tcBorders>
              <w:top w:val="nil"/>
              <w:left w:val="nil"/>
              <w:bottom w:val="nil"/>
              <w:right w:val="nil"/>
            </w:tcBorders>
            <w:shd w:val="clear" w:color="auto" w:fill="auto"/>
            <w:noWrap/>
            <w:vAlign w:val="bottom"/>
            <w:hideMark/>
          </w:tcPr>
          <w:p w:rsidR="00AB1A3D" w:rsidRPr="008C4475" w:rsidRDefault="008C4475" w:rsidP="008C4475">
            <w:pPr>
              <w:jc w:val="right"/>
              <w:rPr>
                <w:rFonts w:cs="Arial"/>
                <w:lang w:eastAsia="en-GB"/>
              </w:rPr>
            </w:pPr>
            <w:r w:rsidRPr="008C4475">
              <w:rPr>
                <w:rFonts w:cs="Arial"/>
                <w:lang w:eastAsia="en-GB"/>
              </w:rPr>
              <w:t>1</w:t>
            </w:r>
            <w:r w:rsidR="00AB1A3D" w:rsidRPr="008C4475">
              <w:rPr>
                <w:rFonts w:cs="Arial"/>
                <w:lang w:eastAsia="en-GB"/>
              </w:rPr>
              <w:t>.</w:t>
            </w:r>
            <w:r w:rsidRPr="008C4475">
              <w:rPr>
                <w:rFonts w:cs="Arial"/>
                <w:lang w:eastAsia="en-GB"/>
              </w:rPr>
              <w:t>4</w:t>
            </w:r>
            <w:r w:rsidR="00AB1A3D" w:rsidRPr="008C4475">
              <w:rPr>
                <w:rFonts w:cs="Arial"/>
                <w:lang w:eastAsia="en-GB"/>
              </w:rPr>
              <w:t>00</w:t>
            </w:r>
          </w:p>
        </w:tc>
      </w:tr>
      <w:tr w:rsidR="00AB1A3D" w:rsidRPr="008C4475" w:rsidTr="00AB1A3D">
        <w:trPr>
          <w:trHeight w:val="300"/>
        </w:trPr>
        <w:tc>
          <w:tcPr>
            <w:tcW w:w="5868" w:type="dxa"/>
            <w:tcBorders>
              <w:top w:val="nil"/>
              <w:left w:val="nil"/>
              <w:bottom w:val="nil"/>
              <w:right w:val="nil"/>
            </w:tcBorders>
            <w:shd w:val="clear" w:color="auto" w:fill="auto"/>
            <w:noWrap/>
            <w:vAlign w:val="bottom"/>
            <w:hideMark/>
          </w:tcPr>
          <w:p w:rsidR="00AB1A3D" w:rsidRPr="008C4475" w:rsidRDefault="00AB1A3D" w:rsidP="00AB1A3D">
            <w:pPr>
              <w:rPr>
                <w:rFonts w:cs="Arial"/>
                <w:lang w:eastAsia="en-GB"/>
              </w:rPr>
            </w:pPr>
            <w:r w:rsidRPr="008C4475">
              <w:rPr>
                <w:rFonts w:cs="Arial"/>
                <w:lang w:eastAsia="en-GB"/>
              </w:rPr>
              <w:t>Capital Financing ***</w:t>
            </w:r>
          </w:p>
        </w:tc>
        <w:tc>
          <w:tcPr>
            <w:tcW w:w="1696" w:type="dxa"/>
            <w:tcBorders>
              <w:top w:val="nil"/>
              <w:left w:val="nil"/>
              <w:bottom w:val="nil"/>
              <w:right w:val="nil"/>
            </w:tcBorders>
            <w:shd w:val="clear" w:color="auto" w:fill="auto"/>
            <w:noWrap/>
            <w:vAlign w:val="bottom"/>
            <w:hideMark/>
          </w:tcPr>
          <w:p w:rsidR="00AB1A3D" w:rsidRPr="008C4475" w:rsidRDefault="008C4475" w:rsidP="008C4475">
            <w:pPr>
              <w:jc w:val="right"/>
              <w:rPr>
                <w:rFonts w:cs="Arial"/>
                <w:lang w:eastAsia="en-GB"/>
              </w:rPr>
            </w:pPr>
            <w:r w:rsidRPr="008C4475">
              <w:rPr>
                <w:rFonts w:cs="Arial"/>
                <w:lang w:eastAsia="en-GB"/>
              </w:rPr>
              <w:t>0</w:t>
            </w:r>
            <w:r w:rsidR="00AB1A3D" w:rsidRPr="008C4475">
              <w:rPr>
                <w:rFonts w:cs="Arial"/>
                <w:lang w:eastAsia="en-GB"/>
              </w:rPr>
              <w:t>.</w:t>
            </w:r>
            <w:r w:rsidRPr="008C4475">
              <w:rPr>
                <w:rFonts w:cs="Arial"/>
                <w:lang w:eastAsia="en-GB"/>
              </w:rPr>
              <w:t>108</w:t>
            </w:r>
          </w:p>
        </w:tc>
      </w:tr>
      <w:tr w:rsidR="00AB1A3D" w:rsidRPr="008C4475" w:rsidTr="00AB1A3D">
        <w:trPr>
          <w:trHeight w:val="300"/>
        </w:trPr>
        <w:tc>
          <w:tcPr>
            <w:tcW w:w="5868" w:type="dxa"/>
            <w:tcBorders>
              <w:top w:val="nil"/>
              <w:left w:val="nil"/>
              <w:bottom w:val="nil"/>
              <w:right w:val="nil"/>
            </w:tcBorders>
            <w:shd w:val="clear" w:color="auto" w:fill="auto"/>
            <w:noWrap/>
            <w:vAlign w:val="bottom"/>
            <w:hideMark/>
          </w:tcPr>
          <w:p w:rsidR="00AB1A3D" w:rsidRPr="008C4475" w:rsidRDefault="00AB1A3D" w:rsidP="00AB1A3D">
            <w:pPr>
              <w:rPr>
                <w:rFonts w:cs="Arial"/>
                <w:lang w:eastAsia="en-GB"/>
              </w:rPr>
            </w:pPr>
          </w:p>
        </w:tc>
        <w:tc>
          <w:tcPr>
            <w:tcW w:w="1696" w:type="dxa"/>
            <w:tcBorders>
              <w:top w:val="nil"/>
              <w:left w:val="nil"/>
              <w:bottom w:val="nil"/>
              <w:right w:val="nil"/>
            </w:tcBorders>
            <w:shd w:val="clear" w:color="auto" w:fill="auto"/>
            <w:noWrap/>
            <w:vAlign w:val="bottom"/>
            <w:hideMark/>
          </w:tcPr>
          <w:p w:rsidR="00AB1A3D" w:rsidRPr="008C4475" w:rsidRDefault="00AB1A3D" w:rsidP="00AB1A3D">
            <w:pPr>
              <w:rPr>
                <w:rFonts w:cs="Arial"/>
                <w:lang w:eastAsia="en-GB"/>
              </w:rPr>
            </w:pPr>
          </w:p>
        </w:tc>
      </w:tr>
      <w:tr w:rsidR="00AB1A3D" w:rsidRPr="00AB1A3D" w:rsidTr="00AB1A3D">
        <w:trPr>
          <w:trHeight w:val="315"/>
        </w:trPr>
        <w:tc>
          <w:tcPr>
            <w:tcW w:w="5868" w:type="dxa"/>
            <w:tcBorders>
              <w:top w:val="nil"/>
              <w:left w:val="nil"/>
              <w:bottom w:val="nil"/>
              <w:right w:val="nil"/>
            </w:tcBorders>
            <w:shd w:val="clear" w:color="auto" w:fill="auto"/>
            <w:noWrap/>
            <w:vAlign w:val="bottom"/>
            <w:hideMark/>
          </w:tcPr>
          <w:p w:rsidR="00AB1A3D" w:rsidRPr="008C4475" w:rsidRDefault="00AB1A3D" w:rsidP="00AB1A3D">
            <w:pPr>
              <w:rPr>
                <w:rFonts w:cs="Arial"/>
                <w:lang w:eastAsia="en-GB"/>
              </w:rPr>
            </w:pPr>
          </w:p>
        </w:tc>
        <w:tc>
          <w:tcPr>
            <w:tcW w:w="1696" w:type="dxa"/>
            <w:tcBorders>
              <w:top w:val="single" w:sz="4" w:space="0" w:color="auto"/>
              <w:left w:val="nil"/>
              <w:bottom w:val="double" w:sz="6" w:space="0" w:color="auto"/>
              <w:right w:val="nil"/>
            </w:tcBorders>
            <w:shd w:val="clear" w:color="auto" w:fill="auto"/>
            <w:noWrap/>
            <w:vAlign w:val="bottom"/>
            <w:hideMark/>
          </w:tcPr>
          <w:p w:rsidR="00AB1A3D" w:rsidRPr="00AB1A3D" w:rsidRDefault="008C4475" w:rsidP="008C4475">
            <w:pPr>
              <w:jc w:val="right"/>
              <w:rPr>
                <w:rFonts w:cs="Arial"/>
                <w:lang w:eastAsia="en-GB"/>
              </w:rPr>
            </w:pPr>
            <w:r w:rsidRPr="008C4475">
              <w:rPr>
                <w:rFonts w:cs="Arial"/>
                <w:lang w:eastAsia="en-GB"/>
              </w:rPr>
              <w:t>1</w:t>
            </w:r>
            <w:r w:rsidR="00AB1A3D" w:rsidRPr="008C4475">
              <w:rPr>
                <w:rFonts w:cs="Arial"/>
                <w:lang w:eastAsia="en-GB"/>
              </w:rPr>
              <w:t>.</w:t>
            </w:r>
            <w:r w:rsidRPr="008C4475">
              <w:rPr>
                <w:rFonts w:cs="Arial"/>
                <w:lang w:eastAsia="en-GB"/>
              </w:rPr>
              <w:t>808</w:t>
            </w:r>
          </w:p>
        </w:tc>
      </w:tr>
    </w:tbl>
    <w:p w:rsidR="00AB1A3D" w:rsidRDefault="00AB1A3D" w:rsidP="006A5B5A">
      <w:pPr>
        <w:ind w:left="426"/>
        <w:rPr>
          <w:rFonts w:cs="Arial"/>
        </w:rPr>
      </w:pPr>
    </w:p>
    <w:p w:rsidR="00693ED6" w:rsidRPr="003D56EF" w:rsidRDefault="00E9623A" w:rsidP="00AB1A3D">
      <w:pPr>
        <w:ind w:left="1134" w:hanging="708"/>
        <w:rPr>
          <w:rFonts w:cs="Arial"/>
        </w:rPr>
      </w:pPr>
      <w:r w:rsidRPr="003D56EF">
        <w:rPr>
          <w:rFonts w:cs="Arial"/>
        </w:rPr>
        <w:t>*</w:t>
      </w:r>
      <w:r w:rsidR="00CC37F9" w:rsidRPr="003D56EF">
        <w:rPr>
          <w:rFonts w:cs="Arial"/>
        </w:rPr>
        <w:tab/>
      </w:r>
      <w:r w:rsidR="008C4475" w:rsidRPr="003D56EF">
        <w:rPr>
          <w:rFonts w:cs="Arial"/>
        </w:rPr>
        <w:t xml:space="preserve">This reserve is linked to the EU funded Oxfordshire Total Refit (OTR / </w:t>
      </w:r>
      <w:proofErr w:type="spellStart"/>
      <w:r w:rsidR="008C4475" w:rsidRPr="003D56EF">
        <w:rPr>
          <w:rFonts w:cs="Arial"/>
        </w:rPr>
        <w:t>OxFutures</w:t>
      </w:r>
      <w:proofErr w:type="spellEnd"/>
      <w:r w:rsidR="008C4475" w:rsidRPr="003D56EF">
        <w:rPr>
          <w:rFonts w:cs="Arial"/>
        </w:rPr>
        <w:t>) project to fund potential project pressures</w:t>
      </w:r>
      <w:r w:rsidR="00E36718">
        <w:rPr>
          <w:rFonts w:cs="Arial"/>
        </w:rPr>
        <w:t xml:space="preserve"> that may arise</w:t>
      </w:r>
    </w:p>
    <w:p w:rsidR="000C5C80" w:rsidRPr="003D56EF" w:rsidRDefault="00693ED6" w:rsidP="00AB1A3D">
      <w:pPr>
        <w:ind w:left="1134" w:hanging="708"/>
        <w:rPr>
          <w:rFonts w:cs="Arial"/>
        </w:rPr>
      </w:pPr>
      <w:r w:rsidRPr="003D56EF">
        <w:rPr>
          <w:rFonts w:cs="Arial"/>
        </w:rPr>
        <w:t>**</w:t>
      </w:r>
      <w:r w:rsidRPr="003D56EF">
        <w:rPr>
          <w:rFonts w:cs="Arial"/>
        </w:rPr>
        <w:tab/>
      </w:r>
      <w:r w:rsidR="008C4475" w:rsidRPr="003D56EF">
        <w:rPr>
          <w:rFonts w:cs="Arial"/>
        </w:rPr>
        <w:t xml:space="preserve">This will provide funding to </w:t>
      </w:r>
      <w:r w:rsidR="003D3A51">
        <w:rPr>
          <w:rFonts w:cs="Arial"/>
        </w:rPr>
        <w:t xml:space="preserve">ameliorate the future cost pressure of the </w:t>
      </w:r>
      <w:r w:rsidR="008C4475" w:rsidRPr="003D56EF">
        <w:rPr>
          <w:rFonts w:cs="Arial"/>
        </w:rPr>
        <w:t xml:space="preserve"> Council disposing of its </w:t>
      </w:r>
      <w:proofErr w:type="spellStart"/>
      <w:r w:rsidR="008C4475" w:rsidRPr="003D56EF">
        <w:rPr>
          <w:rFonts w:cs="Arial"/>
        </w:rPr>
        <w:t>recyclates</w:t>
      </w:r>
      <w:proofErr w:type="spellEnd"/>
      <w:r w:rsidR="008C4475" w:rsidRPr="003D56EF">
        <w:rPr>
          <w:rFonts w:cs="Arial"/>
        </w:rPr>
        <w:t>, including the possibility of building and operating a waste transfer station.</w:t>
      </w:r>
    </w:p>
    <w:p w:rsidR="000C5C80" w:rsidRPr="003D56EF" w:rsidRDefault="000C5C80" w:rsidP="00AB1A3D">
      <w:pPr>
        <w:ind w:left="1134" w:hanging="708"/>
        <w:rPr>
          <w:rFonts w:cs="Arial"/>
        </w:rPr>
      </w:pPr>
      <w:r w:rsidRPr="003D56EF">
        <w:rPr>
          <w:rFonts w:cs="Arial"/>
        </w:rPr>
        <w:t xml:space="preserve">*** </w:t>
      </w:r>
      <w:r w:rsidR="00CC37F9" w:rsidRPr="003D56EF">
        <w:rPr>
          <w:rFonts w:cs="Arial"/>
        </w:rPr>
        <w:tab/>
      </w:r>
      <w:r w:rsidR="005D33C2" w:rsidRPr="003D56EF">
        <w:rPr>
          <w:rFonts w:cs="Arial"/>
        </w:rPr>
        <w:t xml:space="preserve">This </w:t>
      </w:r>
      <w:r w:rsidR="003D56EF" w:rsidRPr="003D56EF">
        <w:rPr>
          <w:rFonts w:cs="Arial"/>
        </w:rPr>
        <w:t xml:space="preserve">will provide resources to finance the Council’s </w:t>
      </w:r>
      <w:r w:rsidR="00867B5B">
        <w:rPr>
          <w:rFonts w:cs="Arial"/>
        </w:rPr>
        <w:t>future</w:t>
      </w:r>
      <w:r w:rsidR="003D56EF">
        <w:rPr>
          <w:rFonts w:cs="Arial"/>
        </w:rPr>
        <w:t xml:space="preserve"> </w:t>
      </w:r>
      <w:r w:rsidR="00867B5B">
        <w:rPr>
          <w:rFonts w:cs="Arial"/>
        </w:rPr>
        <w:t>C</w:t>
      </w:r>
      <w:r w:rsidR="003D56EF" w:rsidRPr="003D56EF">
        <w:rPr>
          <w:rFonts w:cs="Arial"/>
        </w:rPr>
        <w:t xml:space="preserve">apital </w:t>
      </w:r>
      <w:r w:rsidR="00867B5B">
        <w:rPr>
          <w:rFonts w:cs="Arial"/>
        </w:rPr>
        <w:t>P</w:t>
      </w:r>
      <w:r w:rsidR="003D56EF" w:rsidRPr="003D56EF">
        <w:rPr>
          <w:rFonts w:cs="Arial"/>
        </w:rPr>
        <w:t>rogramme and is in line with the</w:t>
      </w:r>
      <w:r w:rsidR="005D33C2" w:rsidRPr="003D56EF">
        <w:rPr>
          <w:rFonts w:cs="Arial"/>
        </w:rPr>
        <w:t xml:space="preserve"> Counc</w:t>
      </w:r>
      <w:r w:rsidR="003D56EF" w:rsidRPr="003D56EF">
        <w:rPr>
          <w:rFonts w:cs="Arial"/>
        </w:rPr>
        <w:t>il’s Medium Term Financial Plan.</w:t>
      </w:r>
    </w:p>
    <w:p w:rsidR="000C5C80" w:rsidRDefault="000C5C80" w:rsidP="006A5B5A">
      <w:pPr>
        <w:ind w:left="426"/>
        <w:rPr>
          <w:rFonts w:cs="Arial"/>
        </w:rPr>
      </w:pPr>
    </w:p>
    <w:p w:rsidR="000C5C80" w:rsidRPr="000B2944" w:rsidRDefault="00B92D4E" w:rsidP="006A5B5A">
      <w:pPr>
        <w:ind w:left="426"/>
        <w:rPr>
          <w:rFonts w:cs="Arial"/>
          <w:u w:val="single"/>
        </w:rPr>
      </w:pPr>
      <w:r w:rsidRPr="000B2944">
        <w:rPr>
          <w:rFonts w:cs="Arial"/>
          <w:u w:val="single"/>
        </w:rPr>
        <w:lastRenderedPageBreak/>
        <w:t xml:space="preserve">Budget </w:t>
      </w:r>
      <w:r w:rsidR="000C5C80" w:rsidRPr="000B2944">
        <w:rPr>
          <w:rFonts w:cs="Arial"/>
          <w:u w:val="single"/>
        </w:rPr>
        <w:t>Carry Forward</w:t>
      </w:r>
      <w:r w:rsidRPr="000B2944">
        <w:rPr>
          <w:rFonts w:cs="Arial"/>
          <w:u w:val="single"/>
        </w:rPr>
        <w:t>s</w:t>
      </w:r>
      <w:r w:rsidR="000C5C80" w:rsidRPr="000B2944">
        <w:rPr>
          <w:rFonts w:cs="Arial"/>
          <w:u w:val="single"/>
        </w:rPr>
        <w:t xml:space="preserve"> </w:t>
      </w:r>
    </w:p>
    <w:p w:rsidR="006A5B5A" w:rsidRPr="003D56EF" w:rsidRDefault="00B92D4E" w:rsidP="003D56EF">
      <w:pPr>
        <w:numPr>
          <w:ilvl w:val="0"/>
          <w:numId w:val="6"/>
        </w:numPr>
        <w:ind w:left="426"/>
        <w:rPr>
          <w:rFonts w:cs="Arial"/>
        </w:rPr>
      </w:pPr>
      <w:r w:rsidRPr="003D56EF">
        <w:rPr>
          <w:rFonts w:cs="Arial"/>
        </w:rPr>
        <w:t>Unspent budgets recommended for carry forward into 201</w:t>
      </w:r>
      <w:r w:rsidR="003D56EF" w:rsidRPr="003D56EF">
        <w:rPr>
          <w:rFonts w:cs="Arial"/>
        </w:rPr>
        <w:t>5</w:t>
      </w:r>
      <w:r w:rsidRPr="003D56EF">
        <w:rPr>
          <w:rFonts w:cs="Arial"/>
        </w:rPr>
        <w:t>/1</w:t>
      </w:r>
      <w:r w:rsidR="003D56EF" w:rsidRPr="003D56EF">
        <w:rPr>
          <w:rFonts w:cs="Arial"/>
        </w:rPr>
        <w:t>6</w:t>
      </w:r>
      <w:r w:rsidRPr="003D56EF">
        <w:rPr>
          <w:rFonts w:cs="Arial"/>
        </w:rPr>
        <w:t xml:space="preserve"> are </w:t>
      </w:r>
      <w:r w:rsidR="006A5B5A" w:rsidRPr="003D56EF">
        <w:rPr>
          <w:rFonts w:cs="Arial"/>
        </w:rPr>
        <w:t>detail</w:t>
      </w:r>
      <w:r w:rsidRPr="003D56EF">
        <w:rPr>
          <w:rFonts w:cs="Arial"/>
        </w:rPr>
        <w:t>ed</w:t>
      </w:r>
      <w:r w:rsidR="006A5B5A" w:rsidRPr="003D56EF">
        <w:rPr>
          <w:rFonts w:cs="Arial"/>
        </w:rPr>
        <w:t xml:space="preserve"> in </w:t>
      </w:r>
      <w:r w:rsidR="00867B5B">
        <w:rPr>
          <w:rFonts w:cs="Arial"/>
        </w:rPr>
        <w:t>A</w:t>
      </w:r>
      <w:r w:rsidR="006A5B5A" w:rsidRPr="003D56EF">
        <w:rPr>
          <w:rFonts w:cs="Arial"/>
        </w:rPr>
        <w:t xml:space="preserve">ppendix </w:t>
      </w:r>
      <w:r w:rsidR="00F65A44" w:rsidRPr="003D56EF">
        <w:rPr>
          <w:rFonts w:cs="Arial"/>
        </w:rPr>
        <w:t>E4</w:t>
      </w:r>
      <w:r w:rsidR="000C5C80" w:rsidRPr="003D56EF">
        <w:rPr>
          <w:rFonts w:cs="Arial"/>
        </w:rPr>
        <w:t xml:space="preserve"> and summarised below</w:t>
      </w:r>
      <w:r w:rsidRPr="003D56EF">
        <w:rPr>
          <w:rFonts w:cs="Arial"/>
        </w:rPr>
        <w:t>:</w:t>
      </w:r>
      <w:r w:rsidR="000C5C80" w:rsidRPr="003D56EF">
        <w:rPr>
          <w:rFonts w:cs="Arial"/>
        </w:rPr>
        <w:t xml:space="preserve"> </w:t>
      </w:r>
    </w:p>
    <w:p w:rsidR="000B2944" w:rsidRPr="003D56EF" w:rsidRDefault="000B2944" w:rsidP="000B2944">
      <w:pPr>
        <w:ind w:left="360"/>
        <w:rPr>
          <w:rFonts w:cs="Arial"/>
        </w:rPr>
      </w:pPr>
    </w:p>
    <w:tbl>
      <w:tblPr>
        <w:tblW w:w="7789" w:type="dxa"/>
        <w:tblLook w:val="04A0" w:firstRow="1" w:lastRow="0" w:firstColumn="1" w:lastColumn="0" w:noHBand="0" w:noVBand="1"/>
      </w:tblPr>
      <w:tblGrid>
        <w:gridCol w:w="2093"/>
        <w:gridCol w:w="1443"/>
        <w:gridCol w:w="1418"/>
        <w:gridCol w:w="1417"/>
        <w:gridCol w:w="1418"/>
      </w:tblGrid>
      <w:tr w:rsidR="001118F1" w:rsidRPr="003D56EF" w:rsidTr="001118F1">
        <w:trPr>
          <w:trHeight w:val="307"/>
        </w:trPr>
        <w:tc>
          <w:tcPr>
            <w:tcW w:w="2093" w:type="dxa"/>
            <w:tcBorders>
              <w:top w:val="nil"/>
              <w:left w:val="nil"/>
              <w:bottom w:val="nil"/>
              <w:right w:val="nil"/>
            </w:tcBorders>
            <w:shd w:val="clear" w:color="000000" w:fill="FFFFFF"/>
            <w:noWrap/>
            <w:hideMark/>
          </w:tcPr>
          <w:p w:rsidR="001118F1" w:rsidRPr="003D56EF" w:rsidRDefault="001118F1" w:rsidP="00F65A44">
            <w:pPr>
              <w:rPr>
                <w:rFonts w:cs="Arial"/>
                <w:b/>
                <w:bCs/>
                <w:color w:val="000000"/>
                <w:lang w:eastAsia="en-GB"/>
              </w:rPr>
            </w:pPr>
            <w:r w:rsidRPr="003D56EF">
              <w:rPr>
                <w:rFonts w:cs="Arial"/>
                <w:b/>
                <w:bCs/>
                <w:color w:val="000000"/>
                <w:lang w:eastAsia="en-GB"/>
              </w:rPr>
              <w:t> </w:t>
            </w:r>
          </w:p>
        </w:tc>
        <w:tc>
          <w:tcPr>
            <w:tcW w:w="1443"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 xml:space="preserve">Amount </w:t>
            </w:r>
          </w:p>
        </w:tc>
        <w:tc>
          <w:tcPr>
            <w:tcW w:w="1418"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New</w:t>
            </w:r>
          </w:p>
        </w:tc>
        <w:tc>
          <w:tcPr>
            <w:tcW w:w="1417"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Slipped</w:t>
            </w:r>
          </w:p>
        </w:tc>
        <w:tc>
          <w:tcPr>
            <w:tcW w:w="1418"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 </w:t>
            </w:r>
          </w:p>
        </w:tc>
      </w:tr>
      <w:tr w:rsidR="001118F1" w:rsidRPr="003D56EF" w:rsidTr="001118F1">
        <w:trPr>
          <w:trHeight w:val="307"/>
        </w:trPr>
        <w:tc>
          <w:tcPr>
            <w:tcW w:w="2093" w:type="dxa"/>
            <w:tcBorders>
              <w:top w:val="nil"/>
              <w:left w:val="nil"/>
              <w:bottom w:val="nil"/>
              <w:right w:val="nil"/>
            </w:tcBorders>
            <w:shd w:val="clear" w:color="000000" w:fill="FFFFFF"/>
            <w:noWrap/>
            <w:hideMark/>
          </w:tcPr>
          <w:p w:rsidR="001118F1" w:rsidRPr="003D56EF" w:rsidRDefault="001118F1" w:rsidP="000C5C80">
            <w:pPr>
              <w:rPr>
                <w:rFonts w:cs="Arial"/>
                <w:b/>
                <w:bCs/>
                <w:color w:val="000000"/>
                <w:lang w:eastAsia="en-GB"/>
              </w:rPr>
            </w:pPr>
          </w:p>
        </w:tc>
        <w:tc>
          <w:tcPr>
            <w:tcW w:w="1443"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Requested</w:t>
            </w:r>
          </w:p>
        </w:tc>
        <w:tc>
          <w:tcPr>
            <w:tcW w:w="1418"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Scheme</w:t>
            </w:r>
          </w:p>
        </w:tc>
        <w:tc>
          <w:tcPr>
            <w:tcW w:w="1417"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Scheme</w:t>
            </w:r>
          </w:p>
        </w:tc>
        <w:tc>
          <w:tcPr>
            <w:tcW w:w="1418"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Total</w:t>
            </w:r>
          </w:p>
        </w:tc>
      </w:tr>
      <w:tr w:rsidR="001118F1" w:rsidRPr="003D56EF" w:rsidTr="001118F1">
        <w:trPr>
          <w:trHeight w:val="307"/>
        </w:trPr>
        <w:tc>
          <w:tcPr>
            <w:tcW w:w="2093" w:type="dxa"/>
            <w:tcBorders>
              <w:top w:val="nil"/>
              <w:left w:val="nil"/>
              <w:bottom w:val="nil"/>
              <w:right w:val="nil"/>
            </w:tcBorders>
            <w:shd w:val="clear" w:color="000000" w:fill="FFFFFF"/>
            <w:noWrap/>
            <w:hideMark/>
          </w:tcPr>
          <w:p w:rsidR="001118F1" w:rsidRPr="003D56EF" w:rsidRDefault="001118F1" w:rsidP="00F65A44">
            <w:pPr>
              <w:rPr>
                <w:rFonts w:cs="Arial"/>
                <w:b/>
                <w:bCs/>
                <w:color w:val="000000"/>
                <w:lang w:eastAsia="en-GB"/>
              </w:rPr>
            </w:pPr>
            <w:r w:rsidRPr="003D56EF">
              <w:rPr>
                <w:rFonts w:cs="Arial"/>
                <w:b/>
                <w:bCs/>
                <w:color w:val="000000"/>
                <w:lang w:eastAsia="en-GB"/>
              </w:rPr>
              <w:t> </w:t>
            </w:r>
          </w:p>
        </w:tc>
        <w:tc>
          <w:tcPr>
            <w:tcW w:w="1443"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w:t>
            </w:r>
          </w:p>
        </w:tc>
        <w:tc>
          <w:tcPr>
            <w:tcW w:w="1418"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w:t>
            </w:r>
          </w:p>
        </w:tc>
        <w:tc>
          <w:tcPr>
            <w:tcW w:w="1417"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w:t>
            </w:r>
          </w:p>
        </w:tc>
        <w:tc>
          <w:tcPr>
            <w:tcW w:w="1418" w:type="dxa"/>
            <w:tcBorders>
              <w:top w:val="nil"/>
              <w:left w:val="nil"/>
              <w:bottom w:val="nil"/>
              <w:right w:val="nil"/>
            </w:tcBorders>
            <w:shd w:val="clear" w:color="000000" w:fill="FFFFFF"/>
            <w:noWrap/>
            <w:hideMark/>
          </w:tcPr>
          <w:p w:rsidR="001118F1" w:rsidRPr="003D56EF" w:rsidRDefault="001118F1" w:rsidP="00F65A44">
            <w:pPr>
              <w:jc w:val="center"/>
              <w:rPr>
                <w:rFonts w:cs="Arial"/>
                <w:b/>
                <w:bCs/>
                <w:color w:val="000000"/>
                <w:lang w:eastAsia="en-GB"/>
              </w:rPr>
            </w:pPr>
            <w:r w:rsidRPr="003D56EF">
              <w:rPr>
                <w:rFonts w:cs="Arial"/>
                <w:b/>
                <w:bCs/>
                <w:color w:val="000000"/>
                <w:lang w:eastAsia="en-GB"/>
              </w:rPr>
              <w:t>£</w:t>
            </w:r>
          </w:p>
        </w:tc>
      </w:tr>
      <w:tr w:rsidR="001118F1" w:rsidRPr="003D56EF" w:rsidTr="001118F1">
        <w:trPr>
          <w:trHeight w:val="292"/>
        </w:trPr>
        <w:tc>
          <w:tcPr>
            <w:tcW w:w="2093" w:type="dxa"/>
            <w:tcBorders>
              <w:top w:val="nil"/>
              <w:left w:val="nil"/>
              <w:bottom w:val="nil"/>
              <w:right w:val="nil"/>
            </w:tcBorders>
            <w:shd w:val="clear" w:color="000000" w:fill="FFFFFF"/>
            <w:noWrap/>
            <w:hideMark/>
          </w:tcPr>
          <w:p w:rsidR="001118F1" w:rsidRPr="003D56EF" w:rsidRDefault="001118F1" w:rsidP="000C5C80">
            <w:pPr>
              <w:rPr>
                <w:rFonts w:cs="Arial"/>
                <w:lang w:eastAsia="en-GB"/>
              </w:rPr>
            </w:pPr>
            <w:r w:rsidRPr="003D56EF">
              <w:rPr>
                <w:rFonts w:cs="Arial"/>
                <w:lang w:eastAsia="en-GB"/>
              </w:rPr>
              <w:t>General Fund</w:t>
            </w:r>
          </w:p>
        </w:tc>
        <w:tc>
          <w:tcPr>
            <w:tcW w:w="1443" w:type="dxa"/>
            <w:tcBorders>
              <w:top w:val="nil"/>
              <w:left w:val="nil"/>
              <w:bottom w:val="nil"/>
              <w:right w:val="nil"/>
            </w:tcBorders>
            <w:shd w:val="clear" w:color="000000" w:fill="FFFFFF"/>
          </w:tcPr>
          <w:p w:rsidR="001118F1" w:rsidRPr="003D56EF" w:rsidRDefault="001118F1" w:rsidP="003D56EF">
            <w:pPr>
              <w:jc w:val="right"/>
              <w:rPr>
                <w:rFonts w:cs="Arial"/>
                <w:bCs/>
                <w:lang w:eastAsia="en-GB"/>
              </w:rPr>
            </w:pPr>
            <w:r w:rsidRPr="003D56EF">
              <w:rPr>
                <w:rFonts w:cs="Arial"/>
                <w:bCs/>
                <w:lang w:eastAsia="en-GB"/>
              </w:rPr>
              <w:t>1,313,621</w:t>
            </w:r>
          </w:p>
        </w:tc>
        <w:tc>
          <w:tcPr>
            <w:tcW w:w="1418" w:type="dxa"/>
            <w:tcBorders>
              <w:top w:val="nil"/>
              <w:left w:val="nil"/>
              <w:bottom w:val="nil"/>
              <w:right w:val="nil"/>
            </w:tcBorders>
            <w:shd w:val="clear" w:color="000000" w:fill="FFFFFF"/>
          </w:tcPr>
          <w:p w:rsidR="001118F1" w:rsidRPr="003D56EF" w:rsidRDefault="001118F1" w:rsidP="003D56EF">
            <w:pPr>
              <w:jc w:val="right"/>
              <w:rPr>
                <w:rFonts w:cs="Arial"/>
                <w:bCs/>
                <w:lang w:eastAsia="en-GB"/>
              </w:rPr>
            </w:pPr>
            <w:r w:rsidRPr="003D56EF">
              <w:rPr>
                <w:rFonts w:cs="Arial"/>
                <w:bCs/>
                <w:lang w:eastAsia="en-GB"/>
              </w:rPr>
              <w:t>116,000</w:t>
            </w:r>
          </w:p>
        </w:tc>
        <w:tc>
          <w:tcPr>
            <w:tcW w:w="1417" w:type="dxa"/>
            <w:tcBorders>
              <w:top w:val="nil"/>
              <w:left w:val="nil"/>
              <w:bottom w:val="nil"/>
              <w:right w:val="nil"/>
            </w:tcBorders>
            <w:shd w:val="clear" w:color="000000" w:fill="FFFFFF"/>
          </w:tcPr>
          <w:p w:rsidR="001118F1" w:rsidRPr="003D56EF" w:rsidRDefault="001118F1" w:rsidP="003D56EF">
            <w:pPr>
              <w:jc w:val="right"/>
              <w:rPr>
                <w:rFonts w:cs="Arial"/>
                <w:bCs/>
                <w:lang w:eastAsia="en-GB"/>
              </w:rPr>
            </w:pPr>
            <w:r w:rsidRPr="003D56EF">
              <w:rPr>
                <w:rFonts w:cs="Arial"/>
                <w:bCs/>
                <w:lang w:eastAsia="en-GB"/>
              </w:rPr>
              <w:t>1,197,621</w:t>
            </w:r>
          </w:p>
        </w:tc>
        <w:tc>
          <w:tcPr>
            <w:tcW w:w="1418" w:type="dxa"/>
            <w:tcBorders>
              <w:top w:val="nil"/>
              <w:left w:val="nil"/>
              <w:bottom w:val="nil"/>
              <w:right w:val="nil"/>
            </w:tcBorders>
            <w:shd w:val="clear" w:color="000000" w:fill="FFFFFF"/>
          </w:tcPr>
          <w:p w:rsidR="001118F1" w:rsidRPr="003D56EF" w:rsidRDefault="001118F1" w:rsidP="003D56EF">
            <w:pPr>
              <w:jc w:val="right"/>
              <w:rPr>
                <w:rFonts w:cs="Arial"/>
                <w:bCs/>
                <w:lang w:eastAsia="en-GB"/>
              </w:rPr>
            </w:pPr>
            <w:r w:rsidRPr="003D56EF">
              <w:rPr>
                <w:rFonts w:cs="Arial"/>
                <w:bCs/>
                <w:lang w:eastAsia="en-GB"/>
              </w:rPr>
              <w:t>1,313,621</w:t>
            </w:r>
          </w:p>
        </w:tc>
      </w:tr>
    </w:tbl>
    <w:p w:rsidR="00F65A44" w:rsidRDefault="00F65A44" w:rsidP="006A5B5A">
      <w:pPr>
        <w:pStyle w:val="ListParagraph"/>
        <w:ind w:left="426"/>
        <w:rPr>
          <w:rFonts w:cs="Arial"/>
        </w:rPr>
      </w:pPr>
    </w:p>
    <w:p w:rsidR="00F65A44" w:rsidRDefault="001118F1" w:rsidP="001118F1">
      <w:pPr>
        <w:pStyle w:val="ListParagraph"/>
        <w:numPr>
          <w:ilvl w:val="0"/>
          <w:numId w:val="6"/>
        </w:numPr>
        <w:ind w:left="426"/>
        <w:rPr>
          <w:rFonts w:cs="Arial"/>
        </w:rPr>
      </w:pPr>
      <w:r>
        <w:rPr>
          <w:rFonts w:cs="Arial"/>
        </w:rPr>
        <w:t xml:space="preserve">Of these carry forward requests, £0.061 million (relating to ward member budgets underspend) has been assumed in the service outturn with the balance of £1.253 million being shown against the relevant service in Appendix E1.  </w:t>
      </w:r>
      <w:r w:rsidR="00F65A44">
        <w:rPr>
          <w:rFonts w:cs="Arial"/>
        </w:rPr>
        <w:t>All of the</w:t>
      </w:r>
      <w:r w:rsidR="00CF6B23">
        <w:rPr>
          <w:rFonts w:cs="Arial"/>
        </w:rPr>
        <w:t xml:space="preserve"> </w:t>
      </w:r>
      <w:r w:rsidR="00F65A44">
        <w:rPr>
          <w:rFonts w:cs="Arial"/>
        </w:rPr>
        <w:t xml:space="preserve">carry forward requests </w:t>
      </w:r>
      <w:r w:rsidR="00807AE2">
        <w:rPr>
          <w:rFonts w:cs="Arial"/>
        </w:rPr>
        <w:t>are</w:t>
      </w:r>
      <w:r>
        <w:rPr>
          <w:rFonts w:cs="Arial"/>
        </w:rPr>
        <w:t xml:space="preserve"> </w:t>
      </w:r>
      <w:r w:rsidR="00CF6B23">
        <w:rPr>
          <w:rFonts w:cs="Arial"/>
        </w:rPr>
        <w:t>assumed</w:t>
      </w:r>
      <w:r w:rsidR="00F65A44">
        <w:rPr>
          <w:rFonts w:cs="Arial"/>
        </w:rPr>
        <w:t xml:space="preserve"> </w:t>
      </w:r>
      <w:r w:rsidR="00CF6B23">
        <w:rPr>
          <w:rFonts w:cs="Arial"/>
        </w:rPr>
        <w:t>with</w:t>
      </w:r>
      <w:r w:rsidR="00F65A44">
        <w:rPr>
          <w:rFonts w:cs="Arial"/>
        </w:rPr>
        <w:t xml:space="preserve">in the </w:t>
      </w:r>
      <w:r>
        <w:rPr>
          <w:rFonts w:cs="Arial"/>
        </w:rPr>
        <w:t xml:space="preserve">overall General Fund </w:t>
      </w:r>
      <w:r w:rsidR="00F65A44">
        <w:rPr>
          <w:rFonts w:cs="Arial"/>
        </w:rPr>
        <w:t xml:space="preserve">outturn </w:t>
      </w:r>
      <w:r>
        <w:rPr>
          <w:rFonts w:cs="Arial"/>
        </w:rPr>
        <w:t xml:space="preserve">variance </w:t>
      </w:r>
      <w:r w:rsidR="00CF6B23">
        <w:rPr>
          <w:rFonts w:cs="Arial"/>
        </w:rPr>
        <w:t>figure</w:t>
      </w:r>
      <w:r>
        <w:rPr>
          <w:rFonts w:cs="Arial"/>
        </w:rPr>
        <w:t xml:space="preserve"> of £1.808 million</w:t>
      </w:r>
      <w:r w:rsidR="00CF6B23">
        <w:rPr>
          <w:rFonts w:cs="Arial"/>
        </w:rPr>
        <w:t xml:space="preserve"> detailed above </w:t>
      </w:r>
      <w:r w:rsidR="00DD64C0">
        <w:rPr>
          <w:rFonts w:cs="Arial"/>
        </w:rPr>
        <w:t xml:space="preserve">and </w:t>
      </w:r>
      <w:r>
        <w:rPr>
          <w:rFonts w:cs="Arial"/>
        </w:rPr>
        <w:t xml:space="preserve">in </w:t>
      </w:r>
      <w:r w:rsidR="00CD5518">
        <w:rPr>
          <w:rFonts w:cs="Arial"/>
        </w:rPr>
        <w:t>the appendices</w:t>
      </w:r>
      <w:r w:rsidR="00F65A44">
        <w:rPr>
          <w:rFonts w:cs="Arial"/>
        </w:rPr>
        <w:t>.  The requests have been analysed to show where the</w:t>
      </w:r>
      <w:r w:rsidR="00DD64C0">
        <w:rPr>
          <w:rFonts w:cs="Arial"/>
        </w:rPr>
        <w:t>y</w:t>
      </w:r>
      <w:r w:rsidR="00F65A44">
        <w:rPr>
          <w:rFonts w:cs="Arial"/>
        </w:rPr>
        <w:t xml:space="preserve"> relate to a slipped budget (“Slipped Scheme”) or are </w:t>
      </w:r>
      <w:r w:rsidR="00315362">
        <w:rPr>
          <w:rFonts w:cs="Arial"/>
        </w:rPr>
        <w:t xml:space="preserve">a </w:t>
      </w:r>
      <w:r w:rsidR="00C43016">
        <w:rPr>
          <w:rFonts w:cs="Arial"/>
        </w:rPr>
        <w:t>request for a “New Scheme”.</w:t>
      </w:r>
    </w:p>
    <w:p w:rsidR="00C43016" w:rsidRDefault="00C43016" w:rsidP="00C43016">
      <w:pPr>
        <w:pStyle w:val="ListParagraph"/>
        <w:ind w:left="426"/>
        <w:rPr>
          <w:rFonts w:cs="Arial"/>
        </w:rPr>
      </w:pPr>
    </w:p>
    <w:p w:rsidR="001118F1" w:rsidRDefault="003C24E9" w:rsidP="001118F1">
      <w:pPr>
        <w:pStyle w:val="ListParagraph"/>
        <w:numPr>
          <w:ilvl w:val="0"/>
          <w:numId w:val="6"/>
        </w:numPr>
        <w:ind w:left="426"/>
        <w:rPr>
          <w:rFonts w:cs="Arial"/>
        </w:rPr>
      </w:pPr>
      <w:r>
        <w:rPr>
          <w:rFonts w:cs="Arial"/>
        </w:rPr>
        <w:t xml:space="preserve">The Board are asked to review and agree the carry forward requests.  </w:t>
      </w:r>
      <w:r w:rsidR="001118F1">
        <w:rPr>
          <w:rFonts w:cs="Arial"/>
        </w:rPr>
        <w:t>If any of the</w:t>
      </w:r>
      <w:r w:rsidR="00C43016">
        <w:rPr>
          <w:rFonts w:cs="Arial"/>
        </w:rPr>
        <w:t xml:space="preserve"> requests are not approved</w:t>
      </w:r>
      <w:r w:rsidR="001118F1">
        <w:rPr>
          <w:rFonts w:cs="Arial"/>
        </w:rPr>
        <w:t>, the</w:t>
      </w:r>
      <w:r w:rsidR="000F1622">
        <w:rPr>
          <w:rFonts w:cs="Arial"/>
        </w:rPr>
        <w:t xml:space="preserve"> associated funding will be transferred</w:t>
      </w:r>
      <w:r w:rsidR="001118F1">
        <w:rPr>
          <w:rFonts w:cs="Arial"/>
        </w:rPr>
        <w:t xml:space="preserve"> into other earmarked reserve</w:t>
      </w:r>
      <w:r w:rsidR="000F1622">
        <w:rPr>
          <w:rFonts w:cs="Arial"/>
        </w:rPr>
        <w:t>s</w:t>
      </w:r>
      <w:r w:rsidR="00C43016">
        <w:rPr>
          <w:rFonts w:cs="Arial"/>
        </w:rPr>
        <w:t>.</w:t>
      </w:r>
    </w:p>
    <w:p w:rsidR="00E44776" w:rsidRDefault="00E44776" w:rsidP="006A5B5A">
      <w:pPr>
        <w:pStyle w:val="ListParagraph"/>
        <w:ind w:left="426"/>
        <w:rPr>
          <w:rFonts w:cs="Arial"/>
        </w:rPr>
      </w:pPr>
    </w:p>
    <w:p w:rsidR="00F0793A" w:rsidRPr="00693ED6" w:rsidRDefault="00693ED6" w:rsidP="006A5B5A">
      <w:pPr>
        <w:pStyle w:val="ListParagraph"/>
        <w:ind w:left="426"/>
        <w:rPr>
          <w:rFonts w:cs="Arial"/>
          <w:u w:val="single"/>
        </w:rPr>
      </w:pPr>
      <w:r w:rsidRPr="00693ED6">
        <w:rPr>
          <w:rFonts w:cs="Arial"/>
          <w:u w:val="single"/>
        </w:rPr>
        <w:t>Earmarked Reserves</w:t>
      </w:r>
    </w:p>
    <w:p w:rsidR="002B3272" w:rsidRPr="00D95A9A" w:rsidRDefault="00B17F83" w:rsidP="00B17F83">
      <w:pPr>
        <w:ind w:left="426" w:hanging="426"/>
        <w:rPr>
          <w:rFonts w:cs="Arial"/>
        </w:rPr>
      </w:pPr>
      <w:r>
        <w:rPr>
          <w:rFonts w:cs="Arial"/>
        </w:rPr>
        <w:t>1</w:t>
      </w:r>
      <w:r w:rsidR="007063A9">
        <w:rPr>
          <w:rFonts w:cs="Arial"/>
        </w:rPr>
        <w:t>1</w:t>
      </w:r>
      <w:r w:rsidR="007063A9">
        <w:rPr>
          <w:rFonts w:cs="Arial"/>
        </w:rPr>
        <w:tab/>
      </w:r>
      <w:r w:rsidR="00435C74" w:rsidRPr="00D95A9A">
        <w:rPr>
          <w:rFonts w:cs="Arial"/>
        </w:rPr>
        <w:t>At 1</w:t>
      </w:r>
      <w:r w:rsidR="00435C74" w:rsidRPr="00D95A9A">
        <w:rPr>
          <w:rFonts w:cs="Arial"/>
          <w:vertAlign w:val="superscript"/>
        </w:rPr>
        <w:t>st</w:t>
      </w:r>
      <w:r w:rsidR="00435C74" w:rsidRPr="00D95A9A">
        <w:rPr>
          <w:rFonts w:cs="Arial"/>
        </w:rPr>
        <w:t xml:space="preserve"> April 201</w:t>
      </w:r>
      <w:r w:rsidR="00D95A9A" w:rsidRPr="00D95A9A">
        <w:rPr>
          <w:rFonts w:cs="Arial"/>
        </w:rPr>
        <w:t>4</w:t>
      </w:r>
      <w:r w:rsidR="00435C74" w:rsidRPr="00D95A9A">
        <w:rPr>
          <w:rFonts w:cs="Arial"/>
        </w:rPr>
        <w:t xml:space="preserve">, overall levels of </w:t>
      </w:r>
      <w:r w:rsidR="00D95A9A" w:rsidRPr="00D95A9A">
        <w:rPr>
          <w:rFonts w:cs="Arial"/>
        </w:rPr>
        <w:t xml:space="preserve">General Fund </w:t>
      </w:r>
      <w:r w:rsidR="00435C74" w:rsidRPr="00D95A9A">
        <w:rPr>
          <w:rFonts w:cs="Arial"/>
        </w:rPr>
        <w:t>earmarked reserves were £</w:t>
      </w:r>
      <w:r w:rsidR="00D95A9A" w:rsidRPr="00D95A9A">
        <w:rPr>
          <w:rFonts w:cs="Arial"/>
        </w:rPr>
        <w:t>28</w:t>
      </w:r>
      <w:r w:rsidR="00CE5596" w:rsidRPr="00D95A9A">
        <w:rPr>
          <w:rFonts w:cs="Arial"/>
        </w:rPr>
        <w:t>.</w:t>
      </w:r>
      <w:r w:rsidR="00D95A9A" w:rsidRPr="00D95A9A">
        <w:rPr>
          <w:rFonts w:cs="Arial"/>
        </w:rPr>
        <w:t>351</w:t>
      </w:r>
      <w:r w:rsidR="00CE5596" w:rsidRPr="00D95A9A">
        <w:rPr>
          <w:rFonts w:cs="Arial"/>
        </w:rPr>
        <w:t xml:space="preserve"> </w:t>
      </w:r>
      <w:r w:rsidR="00435C74" w:rsidRPr="00D95A9A">
        <w:rPr>
          <w:rFonts w:cs="Arial"/>
        </w:rPr>
        <w:t>million, rising to £</w:t>
      </w:r>
      <w:r w:rsidR="00D95A9A" w:rsidRPr="00D95A9A">
        <w:rPr>
          <w:rFonts w:cs="Arial"/>
        </w:rPr>
        <w:t>31</w:t>
      </w:r>
      <w:r w:rsidR="00435C74" w:rsidRPr="00D95A9A">
        <w:rPr>
          <w:rFonts w:cs="Arial"/>
        </w:rPr>
        <w:t>.</w:t>
      </w:r>
      <w:r w:rsidR="00D95A9A" w:rsidRPr="00D95A9A">
        <w:rPr>
          <w:rFonts w:cs="Arial"/>
        </w:rPr>
        <w:t>297</w:t>
      </w:r>
      <w:r w:rsidR="00435C74" w:rsidRPr="00D95A9A">
        <w:rPr>
          <w:rFonts w:cs="Arial"/>
        </w:rPr>
        <w:t xml:space="preserve"> million by 31</w:t>
      </w:r>
      <w:r w:rsidR="00435C74" w:rsidRPr="00D95A9A">
        <w:rPr>
          <w:rFonts w:cs="Arial"/>
          <w:vertAlign w:val="superscript"/>
        </w:rPr>
        <w:t>st</w:t>
      </w:r>
      <w:r w:rsidR="00435C74" w:rsidRPr="00D95A9A">
        <w:rPr>
          <w:rFonts w:cs="Arial"/>
        </w:rPr>
        <w:t xml:space="preserve"> March 201</w:t>
      </w:r>
      <w:r w:rsidR="00D95A9A" w:rsidRPr="00D95A9A">
        <w:rPr>
          <w:rFonts w:cs="Arial"/>
        </w:rPr>
        <w:t>5</w:t>
      </w:r>
      <w:r w:rsidR="00435C74" w:rsidRPr="00D95A9A">
        <w:rPr>
          <w:rFonts w:cs="Arial"/>
        </w:rPr>
        <w:t xml:space="preserve">.  </w:t>
      </w:r>
      <w:r w:rsidR="00F0793A" w:rsidRPr="00D95A9A">
        <w:rPr>
          <w:rFonts w:cs="Arial"/>
        </w:rPr>
        <w:t>These are analys</w:t>
      </w:r>
      <w:r w:rsidR="00D95A9A" w:rsidRPr="00D95A9A">
        <w:rPr>
          <w:rFonts w:cs="Arial"/>
        </w:rPr>
        <w:t>ed individually in Appendix E5.</w:t>
      </w:r>
    </w:p>
    <w:p w:rsidR="002B3272" w:rsidRPr="00D95A9A" w:rsidRDefault="002B3272" w:rsidP="002B3272">
      <w:pPr>
        <w:ind w:left="426"/>
        <w:rPr>
          <w:rFonts w:cs="Arial"/>
        </w:rPr>
      </w:pPr>
    </w:p>
    <w:p w:rsidR="006A5B5A" w:rsidRPr="009A6C4D" w:rsidRDefault="007063A9" w:rsidP="00B17F83">
      <w:pPr>
        <w:ind w:left="426" w:hanging="426"/>
        <w:rPr>
          <w:rFonts w:cs="Arial"/>
        </w:rPr>
      </w:pPr>
      <w:r w:rsidRPr="007063A9">
        <w:rPr>
          <w:rFonts w:cs="Arial"/>
        </w:rPr>
        <w:t>1</w:t>
      </w:r>
      <w:r w:rsidR="00B17F83">
        <w:rPr>
          <w:rFonts w:cs="Arial"/>
        </w:rPr>
        <w:t>2</w:t>
      </w:r>
      <w:r w:rsidR="00B17F83">
        <w:rPr>
          <w:rFonts w:cs="Arial"/>
        </w:rPr>
        <w:tab/>
      </w:r>
      <w:r w:rsidR="00E44776" w:rsidRPr="001427A0">
        <w:rPr>
          <w:rFonts w:cs="Arial"/>
        </w:rPr>
        <w:t>Total movements on earmarked reserves in year can be summarised as follows: -</w:t>
      </w:r>
    </w:p>
    <w:p w:rsidR="00E44776" w:rsidRDefault="00E44776" w:rsidP="00E44776">
      <w:pPr>
        <w:ind w:left="426"/>
        <w:rPr>
          <w:rFonts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548"/>
        <w:gridCol w:w="1590"/>
        <w:gridCol w:w="1590"/>
      </w:tblGrid>
      <w:tr w:rsidR="00C56C4C" w:rsidRPr="00EF1FDC" w:rsidTr="00EF1FDC">
        <w:tc>
          <w:tcPr>
            <w:tcW w:w="1809" w:type="dxa"/>
            <w:shd w:val="clear" w:color="auto" w:fill="auto"/>
          </w:tcPr>
          <w:p w:rsidR="00C56C4C" w:rsidRPr="00EF1FDC" w:rsidRDefault="00C56C4C" w:rsidP="00E44776">
            <w:pPr>
              <w:rPr>
                <w:rFonts w:cs="Arial"/>
              </w:rPr>
            </w:pPr>
          </w:p>
        </w:tc>
        <w:tc>
          <w:tcPr>
            <w:tcW w:w="1559" w:type="dxa"/>
            <w:shd w:val="clear" w:color="auto" w:fill="BFBFBF"/>
          </w:tcPr>
          <w:p w:rsidR="00C56C4C" w:rsidRPr="00EF1FDC" w:rsidRDefault="00C56C4C" w:rsidP="00EF1FDC">
            <w:pPr>
              <w:jc w:val="center"/>
              <w:rPr>
                <w:rFonts w:cs="Arial"/>
                <w:b/>
              </w:rPr>
            </w:pPr>
            <w:r w:rsidRPr="00EF1FDC">
              <w:rPr>
                <w:rFonts w:cs="Arial"/>
                <w:b/>
              </w:rPr>
              <w:t>Opening</w:t>
            </w:r>
          </w:p>
        </w:tc>
        <w:tc>
          <w:tcPr>
            <w:tcW w:w="3138" w:type="dxa"/>
            <w:gridSpan w:val="2"/>
            <w:shd w:val="clear" w:color="auto" w:fill="BFBFBF"/>
          </w:tcPr>
          <w:p w:rsidR="00C56C4C" w:rsidRPr="00EF1FDC" w:rsidRDefault="00C56C4C" w:rsidP="00EF1FDC">
            <w:pPr>
              <w:jc w:val="center"/>
              <w:rPr>
                <w:rFonts w:cs="Arial"/>
                <w:b/>
              </w:rPr>
            </w:pPr>
            <w:r w:rsidRPr="00EF1FDC">
              <w:rPr>
                <w:rFonts w:cs="Arial"/>
                <w:b/>
              </w:rPr>
              <w:t>Transfers</w:t>
            </w:r>
          </w:p>
        </w:tc>
        <w:tc>
          <w:tcPr>
            <w:tcW w:w="1590" w:type="dxa"/>
            <w:shd w:val="clear" w:color="auto" w:fill="BFBFBF"/>
          </w:tcPr>
          <w:p w:rsidR="00C56C4C" w:rsidRPr="00EF1FDC" w:rsidRDefault="00C56C4C" w:rsidP="00EF1FDC">
            <w:pPr>
              <w:jc w:val="center"/>
              <w:rPr>
                <w:rFonts w:cs="Arial"/>
                <w:b/>
              </w:rPr>
            </w:pPr>
            <w:r w:rsidRPr="00EF1FDC">
              <w:rPr>
                <w:rFonts w:cs="Arial"/>
                <w:b/>
              </w:rPr>
              <w:t>Closing</w:t>
            </w:r>
          </w:p>
        </w:tc>
      </w:tr>
      <w:tr w:rsidR="00C56C4C" w:rsidRPr="00EF1FDC" w:rsidTr="00EF1FDC">
        <w:tc>
          <w:tcPr>
            <w:tcW w:w="1809" w:type="dxa"/>
            <w:shd w:val="clear" w:color="auto" w:fill="auto"/>
          </w:tcPr>
          <w:p w:rsidR="00C56C4C" w:rsidRPr="00EF1FDC" w:rsidRDefault="00C56C4C" w:rsidP="00E44776">
            <w:pPr>
              <w:rPr>
                <w:rFonts w:cs="Arial"/>
              </w:rPr>
            </w:pPr>
          </w:p>
        </w:tc>
        <w:tc>
          <w:tcPr>
            <w:tcW w:w="1559" w:type="dxa"/>
            <w:shd w:val="clear" w:color="auto" w:fill="BFBFBF"/>
          </w:tcPr>
          <w:p w:rsidR="00C56C4C" w:rsidRPr="00EF1FDC" w:rsidRDefault="00C56C4C" w:rsidP="00EF1FDC">
            <w:pPr>
              <w:jc w:val="center"/>
              <w:rPr>
                <w:rFonts w:cs="Arial"/>
                <w:b/>
              </w:rPr>
            </w:pPr>
            <w:r w:rsidRPr="00EF1FDC">
              <w:rPr>
                <w:rFonts w:cs="Arial"/>
                <w:b/>
              </w:rPr>
              <w:t>Balance</w:t>
            </w:r>
          </w:p>
        </w:tc>
        <w:tc>
          <w:tcPr>
            <w:tcW w:w="1548" w:type="dxa"/>
            <w:shd w:val="clear" w:color="auto" w:fill="BFBFBF"/>
          </w:tcPr>
          <w:p w:rsidR="00C56C4C" w:rsidRPr="00EF1FDC" w:rsidRDefault="00FF187D" w:rsidP="00EF1FDC">
            <w:pPr>
              <w:jc w:val="center"/>
              <w:rPr>
                <w:rFonts w:cs="Arial"/>
                <w:b/>
              </w:rPr>
            </w:pPr>
            <w:r w:rsidRPr="00EF1FDC">
              <w:rPr>
                <w:rFonts w:cs="Arial"/>
                <w:b/>
              </w:rPr>
              <w:t>From</w:t>
            </w:r>
          </w:p>
        </w:tc>
        <w:tc>
          <w:tcPr>
            <w:tcW w:w="1590" w:type="dxa"/>
            <w:shd w:val="clear" w:color="auto" w:fill="BFBFBF"/>
          </w:tcPr>
          <w:p w:rsidR="00C56C4C" w:rsidRPr="00EF1FDC" w:rsidRDefault="00FF187D" w:rsidP="00EF1FDC">
            <w:pPr>
              <w:jc w:val="center"/>
              <w:rPr>
                <w:rFonts w:cs="Arial"/>
                <w:b/>
              </w:rPr>
            </w:pPr>
            <w:r w:rsidRPr="00EF1FDC">
              <w:rPr>
                <w:rFonts w:cs="Arial"/>
                <w:b/>
              </w:rPr>
              <w:t>To</w:t>
            </w:r>
          </w:p>
        </w:tc>
        <w:tc>
          <w:tcPr>
            <w:tcW w:w="1590" w:type="dxa"/>
            <w:shd w:val="clear" w:color="auto" w:fill="BFBFBF"/>
          </w:tcPr>
          <w:p w:rsidR="00C56C4C" w:rsidRPr="00EF1FDC" w:rsidRDefault="00C56C4C" w:rsidP="00EF1FDC">
            <w:pPr>
              <w:jc w:val="center"/>
              <w:rPr>
                <w:rFonts w:cs="Arial"/>
                <w:b/>
              </w:rPr>
            </w:pPr>
            <w:r w:rsidRPr="00EF1FDC">
              <w:rPr>
                <w:rFonts w:cs="Arial"/>
                <w:b/>
              </w:rPr>
              <w:t>Balance</w:t>
            </w:r>
          </w:p>
        </w:tc>
      </w:tr>
      <w:tr w:rsidR="00C56C4C" w:rsidRPr="00EF1FDC" w:rsidTr="00EF1FDC">
        <w:tc>
          <w:tcPr>
            <w:tcW w:w="1809" w:type="dxa"/>
            <w:shd w:val="clear" w:color="auto" w:fill="auto"/>
          </w:tcPr>
          <w:p w:rsidR="00C56C4C" w:rsidRPr="00EF1FDC" w:rsidRDefault="00C56C4C" w:rsidP="00E44776">
            <w:pPr>
              <w:rPr>
                <w:rFonts w:cs="Arial"/>
              </w:rPr>
            </w:pPr>
          </w:p>
        </w:tc>
        <w:tc>
          <w:tcPr>
            <w:tcW w:w="1559" w:type="dxa"/>
            <w:shd w:val="clear" w:color="auto" w:fill="BFBFBF"/>
          </w:tcPr>
          <w:p w:rsidR="00C56C4C" w:rsidRPr="00EF1FDC" w:rsidRDefault="00C56C4C" w:rsidP="00AA055F">
            <w:pPr>
              <w:jc w:val="center"/>
              <w:rPr>
                <w:rFonts w:cs="Arial"/>
                <w:b/>
              </w:rPr>
            </w:pPr>
            <w:r w:rsidRPr="00EF1FDC">
              <w:rPr>
                <w:rFonts w:cs="Arial"/>
                <w:b/>
              </w:rPr>
              <w:t>1/4/201</w:t>
            </w:r>
            <w:r w:rsidR="00AA055F">
              <w:rPr>
                <w:rFonts w:cs="Arial"/>
                <w:b/>
              </w:rPr>
              <w:t>4</w:t>
            </w:r>
          </w:p>
        </w:tc>
        <w:tc>
          <w:tcPr>
            <w:tcW w:w="1548" w:type="dxa"/>
            <w:shd w:val="clear" w:color="auto" w:fill="BFBFBF"/>
          </w:tcPr>
          <w:p w:rsidR="00C56C4C" w:rsidRPr="00EF1FDC" w:rsidRDefault="00C56C4C" w:rsidP="00EF1FDC">
            <w:pPr>
              <w:jc w:val="center"/>
              <w:rPr>
                <w:rFonts w:cs="Arial"/>
                <w:b/>
              </w:rPr>
            </w:pPr>
          </w:p>
        </w:tc>
        <w:tc>
          <w:tcPr>
            <w:tcW w:w="1590" w:type="dxa"/>
            <w:shd w:val="clear" w:color="auto" w:fill="BFBFBF"/>
          </w:tcPr>
          <w:p w:rsidR="00C56C4C" w:rsidRPr="00EF1FDC" w:rsidRDefault="00C56C4C" w:rsidP="00EF1FDC">
            <w:pPr>
              <w:jc w:val="center"/>
              <w:rPr>
                <w:rFonts w:cs="Arial"/>
                <w:b/>
              </w:rPr>
            </w:pPr>
          </w:p>
        </w:tc>
        <w:tc>
          <w:tcPr>
            <w:tcW w:w="1590" w:type="dxa"/>
            <w:shd w:val="clear" w:color="auto" w:fill="BFBFBF"/>
          </w:tcPr>
          <w:p w:rsidR="00C56C4C" w:rsidRPr="00EF1FDC" w:rsidRDefault="00C56C4C" w:rsidP="00AA055F">
            <w:pPr>
              <w:jc w:val="center"/>
              <w:rPr>
                <w:rFonts w:cs="Arial"/>
                <w:b/>
              </w:rPr>
            </w:pPr>
            <w:r w:rsidRPr="00EF1FDC">
              <w:rPr>
                <w:rFonts w:cs="Arial"/>
                <w:b/>
              </w:rPr>
              <w:t>1/4/201</w:t>
            </w:r>
            <w:r w:rsidR="00AA055F">
              <w:rPr>
                <w:rFonts w:cs="Arial"/>
                <w:b/>
              </w:rPr>
              <w:t>5</w:t>
            </w:r>
          </w:p>
        </w:tc>
      </w:tr>
      <w:tr w:rsidR="00C56C4C" w:rsidRPr="00EF1FDC" w:rsidTr="00EF1FDC">
        <w:tc>
          <w:tcPr>
            <w:tcW w:w="1809" w:type="dxa"/>
            <w:shd w:val="clear" w:color="auto" w:fill="auto"/>
          </w:tcPr>
          <w:p w:rsidR="00C56C4C" w:rsidRPr="00EF1FDC" w:rsidRDefault="00C56C4C" w:rsidP="00E44776">
            <w:pPr>
              <w:rPr>
                <w:rFonts w:cs="Arial"/>
              </w:rPr>
            </w:pPr>
          </w:p>
        </w:tc>
        <w:tc>
          <w:tcPr>
            <w:tcW w:w="1559" w:type="dxa"/>
            <w:shd w:val="clear" w:color="auto" w:fill="BFBFBF"/>
          </w:tcPr>
          <w:p w:rsidR="00C56C4C" w:rsidRPr="00EF1FDC" w:rsidRDefault="00C56C4C" w:rsidP="00EF1FDC">
            <w:pPr>
              <w:jc w:val="center"/>
              <w:rPr>
                <w:rFonts w:cs="Arial"/>
                <w:b/>
              </w:rPr>
            </w:pPr>
            <w:r w:rsidRPr="00EF1FDC">
              <w:rPr>
                <w:rFonts w:cs="Arial"/>
                <w:b/>
              </w:rPr>
              <w:t>£000’s</w:t>
            </w:r>
          </w:p>
        </w:tc>
        <w:tc>
          <w:tcPr>
            <w:tcW w:w="1548" w:type="dxa"/>
            <w:shd w:val="clear" w:color="auto" w:fill="BFBFBF"/>
          </w:tcPr>
          <w:p w:rsidR="00C56C4C" w:rsidRPr="00EF1FDC" w:rsidRDefault="00C56C4C" w:rsidP="00EF1FDC">
            <w:pPr>
              <w:jc w:val="center"/>
              <w:rPr>
                <w:rFonts w:cs="Arial"/>
                <w:b/>
              </w:rPr>
            </w:pPr>
            <w:r w:rsidRPr="00EF1FDC">
              <w:rPr>
                <w:rFonts w:cs="Arial"/>
                <w:b/>
              </w:rPr>
              <w:t>£000’s</w:t>
            </w:r>
          </w:p>
        </w:tc>
        <w:tc>
          <w:tcPr>
            <w:tcW w:w="1590" w:type="dxa"/>
            <w:shd w:val="clear" w:color="auto" w:fill="BFBFBF"/>
          </w:tcPr>
          <w:p w:rsidR="00C56C4C" w:rsidRPr="00EF1FDC" w:rsidRDefault="00C56C4C" w:rsidP="00EF1FDC">
            <w:pPr>
              <w:jc w:val="center"/>
              <w:rPr>
                <w:rFonts w:cs="Arial"/>
                <w:b/>
              </w:rPr>
            </w:pPr>
            <w:r w:rsidRPr="00EF1FDC">
              <w:rPr>
                <w:rFonts w:cs="Arial"/>
                <w:b/>
              </w:rPr>
              <w:t>£000’s</w:t>
            </w:r>
          </w:p>
        </w:tc>
        <w:tc>
          <w:tcPr>
            <w:tcW w:w="1590" w:type="dxa"/>
            <w:shd w:val="clear" w:color="auto" w:fill="BFBFBF"/>
          </w:tcPr>
          <w:p w:rsidR="00C56C4C" w:rsidRPr="00EF1FDC" w:rsidRDefault="00C56C4C" w:rsidP="00EF1FDC">
            <w:pPr>
              <w:jc w:val="center"/>
              <w:rPr>
                <w:rFonts w:cs="Arial"/>
                <w:b/>
              </w:rPr>
            </w:pPr>
            <w:r w:rsidRPr="00EF1FDC">
              <w:rPr>
                <w:rFonts w:cs="Arial"/>
                <w:b/>
              </w:rPr>
              <w:t>£000’s</w:t>
            </w:r>
          </w:p>
        </w:tc>
      </w:tr>
      <w:tr w:rsidR="00D95A9A" w:rsidRPr="00DB26C0" w:rsidTr="00EF1FDC">
        <w:tc>
          <w:tcPr>
            <w:tcW w:w="1809" w:type="dxa"/>
            <w:shd w:val="clear" w:color="auto" w:fill="auto"/>
          </w:tcPr>
          <w:p w:rsidR="00D95A9A" w:rsidRPr="00DB26C0" w:rsidRDefault="00D95A9A" w:rsidP="00E44776">
            <w:pPr>
              <w:rPr>
                <w:rFonts w:cs="Arial"/>
              </w:rPr>
            </w:pPr>
            <w:r w:rsidRPr="00DB26C0">
              <w:rPr>
                <w:rFonts w:cs="Arial"/>
              </w:rPr>
              <w:t>HRA</w:t>
            </w:r>
          </w:p>
        </w:tc>
        <w:tc>
          <w:tcPr>
            <w:tcW w:w="1559" w:type="dxa"/>
            <w:shd w:val="clear" w:color="auto" w:fill="auto"/>
          </w:tcPr>
          <w:p w:rsidR="00D95A9A" w:rsidRPr="00DB26C0" w:rsidRDefault="00D95A9A" w:rsidP="00D15B07">
            <w:pPr>
              <w:jc w:val="right"/>
              <w:rPr>
                <w:rFonts w:cs="Arial"/>
              </w:rPr>
            </w:pPr>
            <w:r w:rsidRPr="00DB26C0">
              <w:rPr>
                <w:rFonts w:cs="Arial"/>
              </w:rPr>
              <w:t>8,464</w:t>
            </w:r>
          </w:p>
        </w:tc>
        <w:tc>
          <w:tcPr>
            <w:tcW w:w="1548" w:type="dxa"/>
            <w:shd w:val="clear" w:color="auto" w:fill="auto"/>
          </w:tcPr>
          <w:p w:rsidR="00D95A9A" w:rsidRPr="00DB26C0" w:rsidRDefault="00D95A9A" w:rsidP="00D95A9A">
            <w:pPr>
              <w:jc w:val="right"/>
              <w:rPr>
                <w:rFonts w:cs="Arial"/>
              </w:rPr>
            </w:pPr>
            <w:r w:rsidRPr="00DB26C0">
              <w:rPr>
                <w:rFonts w:cs="Arial"/>
              </w:rPr>
              <w:t>8,202</w:t>
            </w:r>
          </w:p>
        </w:tc>
        <w:tc>
          <w:tcPr>
            <w:tcW w:w="1590" w:type="dxa"/>
            <w:shd w:val="clear" w:color="auto" w:fill="auto"/>
          </w:tcPr>
          <w:p w:rsidR="00D95A9A" w:rsidRPr="00DB26C0" w:rsidRDefault="00D95A9A" w:rsidP="00D95A9A">
            <w:pPr>
              <w:jc w:val="right"/>
              <w:rPr>
                <w:rFonts w:cs="Arial"/>
              </w:rPr>
            </w:pPr>
            <w:r w:rsidRPr="00DB26C0">
              <w:rPr>
                <w:rFonts w:cs="Arial"/>
              </w:rPr>
              <w:t>5,804</w:t>
            </w:r>
          </w:p>
        </w:tc>
        <w:tc>
          <w:tcPr>
            <w:tcW w:w="1590" w:type="dxa"/>
            <w:shd w:val="clear" w:color="auto" w:fill="auto"/>
          </w:tcPr>
          <w:p w:rsidR="00D95A9A" w:rsidRPr="00DB26C0" w:rsidRDefault="00D95A9A" w:rsidP="00D95A9A">
            <w:pPr>
              <w:jc w:val="right"/>
              <w:rPr>
                <w:rFonts w:cs="Arial"/>
              </w:rPr>
            </w:pPr>
            <w:r w:rsidRPr="00DB26C0">
              <w:rPr>
                <w:rFonts w:cs="Arial"/>
              </w:rPr>
              <w:t>6,066</w:t>
            </w:r>
          </w:p>
        </w:tc>
      </w:tr>
      <w:tr w:rsidR="00D95A9A" w:rsidRPr="00DB26C0" w:rsidTr="00EF1FDC">
        <w:tc>
          <w:tcPr>
            <w:tcW w:w="1809" w:type="dxa"/>
            <w:shd w:val="clear" w:color="auto" w:fill="auto"/>
          </w:tcPr>
          <w:p w:rsidR="00D95A9A" w:rsidRPr="00DB26C0" w:rsidRDefault="00D95A9A" w:rsidP="00E44776">
            <w:pPr>
              <w:rPr>
                <w:rFonts w:cs="Arial"/>
              </w:rPr>
            </w:pPr>
            <w:r w:rsidRPr="00DB26C0">
              <w:rPr>
                <w:rFonts w:cs="Arial"/>
              </w:rPr>
              <w:t>General Fund</w:t>
            </w:r>
          </w:p>
        </w:tc>
        <w:tc>
          <w:tcPr>
            <w:tcW w:w="1559" w:type="dxa"/>
            <w:shd w:val="clear" w:color="auto" w:fill="auto"/>
          </w:tcPr>
          <w:p w:rsidR="00D95A9A" w:rsidRPr="00DB26C0" w:rsidRDefault="00D95A9A" w:rsidP="00D95A9A">
            <w:pPr>
              <w:jc w:val="right"/>
              <w:rPr>
                <w:rFonts w:cs="Arial"/>
              </w:rPr>
            </w:pPr>
            <w:r w:rsidRPr="00DB26C0">
              <w:rPr>
                <w:rFonts w:cs="Arial"/>
              </w:rPr>
              <w:t>28,351</w:t>
            </w:r>
          </w:p>
        </w:tc>
        <w:tc>
          <w:tcPr>
            <w:tcW w:w="1548" w:type="dxa"/>
            <w:shd w:val="clear" w:color="auto" w:fill="auto"/>
          </w:tcPr>
          <w:p w:rsidR="00D95A9A" w:rsidRPr="00DB26C0" w:rsidRDefault="00D95A9A" w:rsidP="00EF1FDC">
            <w:pPr>
              <w:jc w:val="right"/>
              <w:rPr>
                <w:rFonts w:cs="Arial"/>
              </w:rPr>
            </w:pPr>
            <w:r w:rsidRPr="00DB26C0">
              <w:rPr>
                <w:rFonts w:cs="Arial"/>
              </w:rPr>
              <w:t>17,406</w:t>
            </w:r>
          </w:p>
        </w:tc>
        <w:tc>
          <w:tcPr>
            <w:tcW w:w="1590" w:type="dxa"/>
            <w:shd w:val="clear" w:color="auto" w:fill="auto"/>
          </w:tcPr>
          <w:p w:rsidR="00D95A9A" w:rsidRPr="00DB26C0" w:rsidRDefault="00D95A9A" w:rsidP="00D95A9A">
            <w:pPr>
              <w:jc w:val="right"/>
              <w:rPr>
                <w:rFonts w:cs="Arial"/>
              </w:rPr>
            </w:pPr>
            <w:r w:rsidRPr="00DB26C0">
              <w:rPr>
                <w:rFonts w:cs="Arial"/>
              </w:rPr>
              <w:t>20,352</w:t>
            </w:r>
          </w:p>
        </w:tc>
        <w:tc>
          <w:tcPr>
            <w:tcW w:w="1590" w:type="dxa"/>
            <w:shd w:val="clear" w:color="auto" w:fill="auto"/>
          </w:tcPr>
          <w:p w:rsidR="00D95A9A" w:rsidRPr="00DB26C0" w:rsidRDefault="00D95A9A" w:rsidP="00EF1FDC">
            <w:pPr>
              <w:jc w:val="right"/>
              <w:rPr>
                <w:rFonts w:cs="Arial"/>
              </w:rPr>
            </w:pPr>
            <w:r w:rsidRPr="00DB26C0">
              <w:rPr>
                <w:rFonts w:cs="Arial"/>
              </w:rPr>
              <w:t>31,297</w:t>
            </w:r>
          </w:p>
        </w:tc>
      </w:tr>
      <w:tr w:rsidR="00D95A9A" w:rsidRPr="00DB26C0" w:rsidTr="00EF1FDC">
        <w:tc>
          <w:tcPr>
            <w:tcW w:w="1809" w:type="dxa"/>
            <w:shd w:val="clear" w:color="auto" w:fill="auto"/>
          </w:tcPr>
          <w:p w:rsidR="00D95A9A" w:rsidRPr="00DB26C0" w:rsidRDefault="00D95A9A" w:rsidP="00C56C4C">
            <w:pPr>
              <w:rPr>
                <w:rFonts w:cs="Arial"/>
              </w:rPr>
            </w:pPr>
            <w:r w:rsidRPr="00DB26C0">
              <w:rPr>
                <w:rFonts w:cs="Arial"/>
              </w:rPr>
              <w:t>Insurance Funds</w:t>
            </w:r>
          </w:p>
        </w:tc>
        <w:tc>
          <w:tcPr>
            <w:tcW w:w="1559" w:type="dxa"/>
            <w:shd w:val="clear" w:color="auto" w:fill="auto"/>
          </w:tcPr>
          <w:p w:rsidR="00D95A9A" w:rsidRPr="00DB26C0" w:rsidRDefault="00D95A9A" w:rsidP="00D15B07">
            <w:pPr>
              <w:jc w:val="right"/>
              <w:rPr>
                <w:rFonts w:cs="Arial"/>
              </w:rPr>
            </w:pPr>
            <w:r w:rsidRPr="00DB26C0">
              <w:rPr>
                <w:rFonts w:cs="Arial"/>
              </w:rPr>
              <w:t>1,461</w:t>
            </w:r>
          </w:p>
        </w:tc>
        <w:tc>
          <w:tcPr>
            <w:tcW w:w="1548" w:type="dxa"/>
            <w:shd w:val="clear" w:color="auto" w:fill="auto"/>
          </w:tcPr>
          <w:p w:rsidR="00D95A9A" w:rsidRPr="00DB26C0" w:rsidRDefault="00D95A9A" w:rsidP="00EF1FDC">
            <w:pPr>
              <w:jc w:val="right"/>
              <w:rPr>
                <w:rFonts w:cs="Arial"/>
              </w:rPr>
            </w:pPr>
            <w:r w:rsidRPr="00DB26C0">
              <w:rPr>
                <w:rFonts w:cs="Arial"/>
              </w:rPr>
              <w:t>165</w:t>
            </w:r>
          </w:p>
        </w:tc>
        <w:tc>
          <w:tcPr>
            <w:tcW w:w="1590" w:type="dxa"/>
            <w:shd w:val="clear" w:color="auto" w:fill="auto"/>
          </w:tcPr>
          <w:p w:rsidR="00D95A9A" w:rsidRPr="00DB26C0" w:rsidRDefault="00D95A9A" w:rsidP="00EF1FDC">
            <w:pPr>
              <w:jc w:val="right"/>
              <w:rPr>
                <w:rFonts w:cs="Arial"/>
              </w:rPr>
            </w:pPr>
            <w:r w:rsidRPr="00DB26C0">
              <w:rPr>
                <w:rFonts w:cs="Arial"/>
              </w:rPr>
              <w:t>-</w:t>
            </w:r>
          </w:p>
        </w:tc>
        <w:tc>
          <w:tcPr>
            <w:tcW w:w="1590" w:type="dxa"/>
            <w:shd w:val="clear" w:color="auto" w:fill="auto"/>
          </w:tcPr>
          <w:p w:rsidR="00D95A9A" w:rsidRPr="00DB26C0" w:rsidRDefault="00D95A9A" w:rsidP="00EF1FDC">
            <w:pPr>
              <w:jc w:val="right"/>
              <w:rPr>
                <w:rFonts w:cs="Arial"/>
              </w:rPr>
            </w:pPr>
            <w:r w:rsidRPr="00DB26C0">
              <w:rPr>
                <w:rFonts w:cs="Arial"/>
              </w:rPr>
              <w:t>1,296</w:t>
            </w:r>
          </w:p>
        </w:tc>
      </w:tr>
      <w:tr w:rsidR="00C56C4C" w:rsidRPr="00DB26C0" w:rsidTr="00EF1FDC">
        <w:tc>
          <w:tcPr>
            <w:tcW w:w="1809" w:type="dxa"/>
            <w:shd w:val="clear" w:color="auto" w:fill="auto"/>
          </w:tcPr>
          <w:p w:rsidR="00C56C4C" w:rsidRPr="00DB26C0" w:rsidRDefault="00C56C4C" w:rsidP="00C56C4C">
            <w:pPr>
              <w:rPr>
                <w:rFonts w:cs="Arial"/>
              </w:rPr>
            </w:pPr>
          </w:p>
        </w:tc>
        <w:tc>
          <w:tcPr>
            <w:tcW w:w="1559" w:type="dxa"/>
            <w:shd w:val="clear" w:color="auto" w:fill="auto"/>
          </w:tcPr>
          <w:p w:rsidR="00C56C4C" w:rsidRPr="00DB26C0" w:rsidRDefault="00C56C4C" w:rsidP="00EF1FDC">
            <w:pPr>
              <w:jc w:val="right"/>
              <w:rPr>
                <w:rFonts w:cs="Arial"/>
              </w:rPr>
            </w:pPr>
          </w:p>
        </w:tc>
        <w:tc>
          <w:tcPr>
            <w:tcW w:w="1548" w:type="dxa"/>
            <w:shd w:val="clear" w:color="auto" w:fill="auto"/>
          </w:tcPr>
          <w:p w:rsidR="00C56C4C" w:rsidRPr="00DB26C0" w:rsidRDefault="00C56C4C" w:rsidP="00EF1FDC">
            <w:pPr>
              <w:jc w:val="right"/>
              <w:rPr>
                <w:rFonts w:cs="Arial"/>
              </w:rPr>
            </w:pPr>
          </w:p>
        </w:tc>
        <w:tc>
          <w:tcPr>
            <w:tcW w:w="1590" w:type="dxa"/>
            <w:shd w:val="clear" w:color="auto" w:fill="auto"/>
          </w:tcPr>
          <w:p w:rsidR="00C56C4C" w:rsidRPr="00DB26C0" w:rsidRDefault="00C56C4C" w:rsidP="00EF1FDC">
            <w:pPr>
              <w:jc w:val="right"/>
              <w:rPr>
                <w:rFonts w:cs="Arial"/>
              </w:rPr>
            </w:pPr>
          </w:p>
        </w:tc>
        <w:tc>
          <w:tcPr>
            <w:tcW w:w="1590" w:type="dxa"/>
            <w:shd w:val="clear" w:color="auto" w:fill="auto"/>
          </w:tcPr>
          <w:p w:rsidR="00C56C4C" w:rsidRPr="00DB26C0" w:rsidRDefault="00C56C4C" w:rsidP="00EF1FDC">
            <w:pPr>
              <w:jc w:val="right"/>
              <w:rPr>
                <w:rFonts w:cs="Arial"/>
              </w:rPr>
            </w:pPr>
          </w:p>
        </w:tc>
      </w:tr>
      <w:tr w:rsidR="00C56C4C" w:rsidRPr="00EF1FDC" w:rsidTr="00EF1FDC">
        <w:tc>
          <w:tcPr>
            <w:tcW w:w="1809" w:type="dxa"/>
            <w:shd w:val="clear" w:color="auto" w:fill="auto"/>
          </w:tcPr>
          <w:p w:rsidR="00C56C4C" w:rsidRPr="00DB26C0" w:rsidRDefault="00C56C4C" w:rsidP="00E44776">
            <w:pPr>
              <w:rPr>
                <w:rFonts w:cs="Arial"/>
                <w:b/>
              </w:rPr>
            </w:pPr>
            <w:r w:rsidRPr="00DB26C0">
              <w:rPr>
                <w:rFonts w:cs="Arial"/>
                <w:b/>
              </w:rPr>
              <w:t>Total</w:t>
            </w:r>
          </w:p>
        </w:tc>
        <w:tc>
          <w:tcPr>
            <w:tcW w:w="1559" w:type="dxa"/>
            <w:shd w:val="clear" w:color="auto" w:fill="auto"/>
          </w:tcPr>
          <w:p w:rsidR="00C56C4C" w:rsidRPr="00DB26C0" w:rsidRDefault="00D95A9A" w:rsidP="00D95A9A">
            <w:pPr>
              <w:jc w:val="right"/>
              <w:rPr>
                <w:rFonts w:cs="Arial"/>
                <w:b/>
              </w:rPr>
            </w:pPr>
            <w:r w:rsidRPr="00DB26C0">
              <w:rPr>
                <w:rFonts w:cs="Arial"/>
                <w:b/>
              </w:rPr>
              <w:t>3</w:t>
            </w:r>
            <w:r w:rsidR="00FF187D" w:rsidRPr="00DB26C0">
              <w:rPr>
                <w:rFonts w:cs="Arial"/>
                <w:b/>
              </w:rPr>
              <w:t>8,</w:t>
            </w:r>
            <w:r w:rsidRPr="00DB26C0">
              <w:rPr>
                <w:rFonts w:cs="Arial"/>
                <w:b/>
              </w:rPr>
              <w:t>276</w:t>
            </w:r>
          </w:p>
        </w:tc>
        <w:tc>
          <w:tcPr>
            <w:tcW w:w="1548" w:type="dxa"/>
            <w:shd w:val="clear" w:color="auto" w:fill="auto"/>
          </w:tcPr>
          <w:p w:rsidR="00C56C4C" w:rsidRPr="00DB26C0" w:rsidRDefault="00D95A9A" w:rsidP="00EF1FDC">
            <w:pPr>
              <w:jc w:val="right"/>
              <w:rPr>
                <w:rFonts w:cs="Arial"/>
                <w:b/>
              </w:rPr>
            </w:pPr>
            <w:r w:rsidRPr="00DB26C0">
              <w:rPr>
                <w:rFonts w:cs="Arial"/>
                <w:b/>
              </w:rPr>
              <w:t>25,773</w:t>
            </w:r>
          </w:p>
        </w:tc>
        <w:tc>
          <w:tcPr>
            <w:tcW w:w="1590" w:type="dxa"/>
            <w:shd w:val="clear" w:color="auto" w:fill="auto"/>
          </w:tcPr>
          <w:p w:rsidR="00C56C4C" w:rsidRPr="00DB26C0" w:rsidRDefault="00D95A9A" w:rsidP="00D95A9A">
            <w:pPr>
              <w:jc w:val="right"/>
              <w:rPr>
                <w:rFonts w:cs="Arial"/>
                <w:b/>
              </w:rPr>
            </w:pPr>
            <w:r w:rsidRPr="00DB26C0">
              <w:rPr>
                <w:rFonts w:cs="Arial"/>
                <w:b/>
              </w:rPr>
              <w:t>26,156</w:t>
            </w:r>
          </w:p>
        </w:tc>
        <w:tc>
          <w:tcPr>
            <w:tcW w:w="1590" w:type="dxa"/>
            <w:shd w:val="clear" w:color="auto" w:fill="auto"/>
          </w:tcPr>
          <w:p w:rsidR="00C56C4C" w:rsidRPr="00EF1FDC" w:rsidRDefault="00FF187D" w:rsidP="00D95A9A">
            <w:pPr>
              <w:jc w:val="right"/>
              <w:rPr>
                <w:rFonts w:cs="Arial"/>
                <w:b/>
              </w:rPr>
            </w:pPr>
            <w:r w:rsidRPr="00DB26C0">
              <w:rPr>
                <w:rFonts w:cs="Arial"/>
                <w:b/>
              </w:rPr>
              <w:t>38,</w:t>
            </w:r>
            <w:r w:rsidR="00D95A9A" w:rsidRPr="00DB26C0">
              <w:rPr>
                <w:rFonts w:cs="Arial"/>
                <w:b/>
              </w:rPr>
              <w:t>659</w:t>
            </w:r>
          </w:p>
        </w:tc>
      </w:tr>
    </w:tbl>
    <w:p w:rsidR="00C56C4C" w:rsidRDefault="00C56C4C" w:rsidP="00E44776">
      <w:pPr>
        <w:ind w:left="426"/>
        <w:rPr>
          <w:rFonts w:cs="Arial"/>
        </w:rPr>
      </w:pPr>
    </w:p>
    <w:p w:rsidR="00E44776" w:rsidRDefault="00E44776" w:rsidP="00E44776">
      <w:pPr>
        <w:ind w:left="426"/>
        <w:rPr>
          <w:rFonts w:cs="Arial"/>
        </w:rPr>
      </w:pPr>
    </w:p>
    <w:p w:rsidR="00E44776" w:rsidRDefault="00DA5047" w:rsidP="00DA5047">
      <w:pPr>
        <w:ind w:left="426" w:hanging="426"/>
        <w:rPr>
          <w:rFonts w:cs="Arial"/>
        </w:rPr>
      </w:pPr>
      <w:r>
        <w:rPr>
          <w:rFonts w:cs="Arial"/>
        </w:rPr>
        <w:t>13</w:t>
      </w:r>
      <w:r>
        <w:rPr>
          <w:rFonts w:cs="Arial"/>
        </w:rPr>
        <w:tab/>
      </w:r>
      <w:r w:rsidR="00E44776" w:rsidRPr="008455D5">
        <w:rPr>
          <w:rFonts w:cs="Arial"/>
        </w:rPr>
        <w:t>These movements include the year en</w:t>
      </w:r>
      <w:r w:rsidR="00F0793A">
        <w:rPr>
          <w:rFonts w:cs="Arial"/>
        </w:rPr>
        <w:t xml:space="preserve">d transfers shown at paragraph </w:t>
      </w:r>
      <w:r>
        <w:rPr>
          <w:rFonts w:cs="Arial"/>
        </w:rPr>
        <w:t>7</w:t>
      </w:r>
      <w:r w:rsidR="00E44776" w:rsidRPr="008455D5">
        <w:rPr>
          <w:rFonts w:cs="Arial"/>
        </w:rPr>
        <w:t xml:space="preserve"> above and the carry forwar</w:t>
      </w:r>
      <w:r w:rsidR="00F0793A">
        <w:rPr>
          <w:rFonts w:cs="Arial"/>
        </w:rPr>
        <w:t xml:space="preserve">d requests shown at paragraph </w:t>
      </w:r>
      <w:r>
        <w:rPr>
          <w:rFonts w:cs="Arial"/>
        </w:rPr>
        <w:t>8</w:t>
      </w:r>
      <w:r w:rsidR="00E44776" w:rsidRPr="008455D5">
        <w:rPr>
          <w:rFonts w:cs="Arial"/>
        </w:rPr>
        <w:t xml:space="preserve"> above and</w:t>
      </w:r>
      <w:r w:rsidR="00E44776">
        <w:rPr>
          <w:rFonts w:cs="Arial"/>
        </w:rPr>
        <w:t xml:space="preserve"> appendix </w:t>
      </w:r>
      <w:r w:rsidR="00C045D2">
        <w:rPr>
          <w:rFonts w:cs="Arial"/>
        </w:rPr>
        <w:t>E4</w:t>
      </w:r>
      <w:r w:rsidR="00E44776">
        <w:rPr>
          <w:rFonts w:cs="Arial"/>
        </w:rPr>
        <w:t>.</w:t>
      </w:r>
    </w:p>
    <w:p w:rsidR="006A5B5A" w:rsidRDefault="006A5B5A" w:rsidP="00E44776">
      <w:pPr>
        <w:ind w:left="426"/>
        <w:rPr>
          <w:rFonts w:cs="Arial"/>
        </w:rPr>
      </w:pPr>
    </w:p>
    <w:p w:rsidR="002B3272" w:rsidRPr="000B2944" w:rsidRDefault="00F0793A" w:rsidP="00E44776">
      <w:pPr>
        <w:ind w:left="426"/>
        <w:rPr>
          <w:rFonts w:cs="Arial"/>
          <w:u w:val="single"/>
        </w:rPr>
      </w:pPr>
      <w:r w:rsidRPr="000B2944">
        <w:rPr>
          <w:rFonts w:cs="Arial"/>
          <w:u w:val="single"/>
        </w:rPr>
        <w:t>Working Balances</w:t>
      </w:r>
    </w:p>
    <w:p w:rsidR="002853B4" w:rsidRPr="00397398" w:rsidRDefault="001427A0" w:rsidP="00B17F83">
      <w:pPr>
        <w:pStyle w:val="ListParagraph"/>
        <w:ind w:left="426" w:hanging="426"/>
        <w:rPr>
          <w:rFonts w:cs="Arial"/>
        </w:rPr>
      </w:pPr>
      <w:r w:rsidRPr="001427A0">
        <w:rPr>
          <w:rFonts w:cs="Arial"/>
        </w:rPr>
        <w:t>1</w:t>
      </w:r>
      <w:r w:rsidR="00DA5047">
        <w:rPr>
          <w:rFonts w:cs="Arial"/>
        </w:rPr>
        <w:t>4</w:t>
      </w:r>
      <w:r w:rsidR="00B17F83">
        <w:rPr>
          <w:rFonts w:cs="Arial"/>
        </w:rPr>
        <w:tab/>
      </w:r>
      <w:r w:rsidR="002853B4" w:rsidRPr="001427A0">
        <w:rPr>
          <w:rFonts w:cs="Arial"/>
        </w:rPr>
        <w:t xml:space="preserve">In addition to earmarked reserves, the Council also maintains a </w:t>
      </w:r>
      <w:r w:rsidR="00F932C4" w:rsidRPr="001427A0">
        <w:rPr>
          <w:rFonts w:cs="Arial"/>
        </w:rPr>
        <w:t xml:space="preserve">General Fund </w:t>
      </w:r>
      <w:r w:rsidR="002853B4" w:rsidRPr="001427A0">
        <w:rPr>
          <w:rFonts w:cs="Arial"/>
        </w:rPr>
        <w:t xml:space="preserve">working balance.  The </w:t>
      </w:r>
      <w:r w:rsidR="00F932C4" w:rsidRPr="001427A0">
        <w:rPr>
          <w:rFonts w:cs="Arial"/>
        </w:rPr>
        <w:t xml:space="preserve">General Fund </w:t>
      </w:r>
      <w:r w:rsidR="002853B4" w:rsidRPr="001427A0">
        <w:rPr>
          <w:rFonts w:cs="Arial"/>
        </w:rPr>
        <w:t xml:space="preserve">working balance brought </w:t>
      </w:r>
      <w:r w:rsidR="002853B4" w:rsidRPr="001427A0">
        <w:rPr>
          <w:rFonts w:cs="Arial"/>
        </w:rPr>
        <w:lastRenderedPageBreak/>
        <w:t>forward at 1</w:t>
      </w:r>
      <w:r w:rsidR="002853B4" w:rsidRPr="001427A0">
        <w:rPr>
          <w:rFonts w:cs="Arial"/>
          <w:vertAlign w:val="superscript"/>
        </w:rPr>
        <w:t>st</w:t>
      </w:r>
      <w:r w:rsidR="002853B4" w:rsidRPr="001427A0">
        <w:rPr>
          <w:rFonts w:cs="Arial"/>
        </w:rPr>
        <w:t xml:space="preserve"> April 201</w:t>
      </w:r>
      <w:r w:rsidR="00AA055F" w:rsidRPr="001427A0">
        <w:rPr>
          <w:rFonts w:cs="Arial"/>
        </w:rPr>
        <w:t>4</w:t>
      </w:r>
      <w:r w:rsidR="002853B4" w:rsidRPr="001427A0">
        <w:rPr>
          <w:rFonts w:cs="Arial"/>
        </w:rPr>
        <w:t xml:space="preserve"> was </w:t>
      </w:r>
      <w:r w:rsidR="00435C74" w:rsidRPr="001427A0">
        <w:rPr>
          <w:rFonts w:cs="Arial"/>
        </w:rPr>
        <w:t xml:space="preserve">£3.622 </w:t>
      </w:r>
      <w:r w:rsidR="002853B4" w:rsidRPr="009A6C4D">
        <w:rPr>
          <w:rFonts w:cs="Arial"/>
        </w:rPr>
        <w:t xml:space="preserve">million and the proposed </w:t>
      </w:r>
      <w:r w:rsidR="007154CE" w:rsidRPr="009A6C4D">
        <w:rPr>
          <w:rFonts w:cs="Arial"/>
        </w:rPr>
        <w:t>transfers to earmarked reserves maintain</w:t>
      </w:r>
      <w:r w:rsidR="002853B4" w:rsidRPr="009A6C4D">
        <w:rPr>
          <w:rFonts w:cs="Arial"/>
        </w:rPr>
        <w:t xml:space="preserve"> this level of working balance as at 31</w:t>
      </w:r>
      <w:r w:rsidR="002853B4" w:rsidRPr="00397398">
        <w:rPr>
          <w:rFonts w:cs="Arial"/>
          <w:vertAlign w:val="superscript"/>
        </w:rPr>
        <w:t>st</w:t>
      </w:r>
      <w:r w:rsidR="002853B4" w:rsidRPr="00397398">
        <w:rPr>
          <w:rFonts w:cs="Arial"/>
        </w:rPr>
        <w:t xml:space="preserve"> March 201</w:t>
      </w:r>
      <w:r w:rsidR="009F2D09" w:rsidRPr="00397398">
        <w:rPr>
          <w:rFonts w:cs="Arial"/>
        </w:rPr>
        <w:t>5</w:t>
      </w:r>
      <w:r w:rsidR="002853B4" w:rsidRPr="00397398">
        <w:rPr>
          <w:rFonts w:cs="Arial"/>
        </w:rPr>
        <w:t>.</w:t>
      </w:r>
    </w:p>
    <w:p w:rsidR="002853B4" w:rsidRDefault="002853B4" w:rsidP="00E44776">
      <w:pPr>
        <w:ind w:left="426"/>
        <w:rPr>
          <w:rFonts w:cs="Arial"/>
        </w:rPr>
      </w:pPr>
    </w:p>
    <w:p w:rsidR="000A2EF0" w:rsidRPr="000A2EF0" w:rsidRDefault="000A2EF0" w:rsidP="000A2EF0">
      <w:pPr>
        <w:rPr>
          <w:rFonts w:cs="Arial"/>
          <w:b/>
        </w:rPr>
      </w:pPr>
      <w:r w:rsidRPr="000A2EF0">
        <w:rPr>
          <w:rFonts w:cs="Arial"/>
          <w:b/>
        </w:rPr>
        <w:t>Housing Revenue Account</w:t>
      </w:r>
    </w:p>
    <w:p w:rsidR="00786B95" w:rsidRPr="00402651" w:rsidRDefault="00B17F83" w:rsidP="00FD0777">
      <w:pPr>
        <w:ind w:left="426" w:hanging="426"/>
        <w:rPr>
          <w:rFonts w:cs="Arial"/>
        </w:rPr>
      </w:pPr>
      <w:r>
        <w:rPr>
          <w:rFonts w:cs="Arial"/>
        </w:rPr>
        <w:t>1</w:t>
      </w:r>
      <w:r w:rsidR="00DA5047">
        <w:rPr>
          <w:rFonts w:cs="Arial"/>
        </w:rPr>
        <w:t>5</w:t>
      </w:r>
      <w:r>
        <w:rPr>
          <w:rFonts w:cs="Arial"/>
        </w:rPr>
        <w:tab/>
      </w:r>
      <w:r w:rsidR="00786B95" w:rsidRPr="001427A0">
        <w:rPr>
          <w:rFonts w:cs="Arial"/>
        </w:rPr>
        <w:t>The Housing Revenue Account is showing a favourable variance against budget of £</w:t>
      </w:r>
      <w:r w:rsidR="00786B95" w:rsidRPr="009A6C4D">
        <w:rPr>
          <w:rFonts w:cs="Arial"/>
        </w:rPr>
        <w:t>2.565 million which is considered in more detail in appendices A</w:t>
      </w:r>
      <w:r w:rsidR="00786B95" w:rsidRPr="00397398">
        <w:rPr>
          <w:rFonts w:cs="Arial"/>
        </w:rPr>
        <w:t>, D and E3.  £</w:t>
      </w:r>
      <w:r w:rsidR="004C6133" w:rsidRPr="00397398">
        <w:rPr>
          <w:rFonts w:cs="Arial"/>
        </w:rPr>
        <w:t>2.</w:t>
      </w:r>
      <w:r w:rsidR="00D04D45" w:rsidRPr="00397398">
        <w:rPr>
          <w:rFonts w:cs="Arial"/>
        </w:rPr>
        <w:t>459</w:t>
      </w:r>
      <w:r w:rsidR="00786B95" w:rsidRPr="00397398">
        <w:rPr>
          <w:rFonts w:cs="Arial"/>
        </w:rPr>
        <w:t xml:space="preserve"> million relates to service variances and £0.1</w:t>
      </w:r>
      <w:r w:rsidR="00D04D45" w:rsidRPr="00397398">
        <w:rPr>
          <w:rFonts w:cs="Arial"/>
        </w:rPr>
        <w:t>06</w:t>
      </w:r>
      <w:r w:rsidR="00786B95" w:rsidRPr="00402651">
        <w:rPr>
          <w:rFonts w:cs="Arial"/>
        </w:rPr>
        <w:t xml:space="preserve"> million to corporate variance</w:t>
      </w:r>
      <w:r w:rsidR="004C6133" w:rsidRPr="00402651">
        <w:rPr>
          <w:rFonts w:cs="Arial"/>
        </w:rPr>
        <w:t>s</w:t>
      </w:r>
      <w:r w:rsidR="00786B95" w:rsidRPr="00402651">
        <w:rPr>
          <w:rFonts w:cs="Arial"/>
        </w:rPr>
        <w:t>.</w:t>
      </w:r>
    </w:p>
    <w:p w:rsidR="004C6133" w:rsidRDefault="004C6133" w:rsidP="004C6133">
      <w:pPr>
        <w:ind w:left="426"/>
        <w:rPr>
          <w:rFonts w:cs="Arial"/>
        </w:rPr>
      </w:pPr>
    </w:p>
    <w:p w:rsidR="003A197C" w:rsidRPr="007154CE" w:rsidRDefault="0033503E" w:rsidP="007154CE">
      <w:pPr>
        <w:rPr>
          <w:rFonts w:cs="Arial"/>
          <w:b/>
        </w:rPr>
      </w:pPr>
      <w:r>
        <w:rPr>
          <w:rFonts w:cs="Arial"/>
          <w:b/>
        </w:rPr>
        <w:t>Housing Revenue Account</w:t>
      </w:r>
      <w:r w:rsidRPr="007C6046">
        <w:rPr>
          <w:rFonts w:cs="Arial"/>
          <w:b/>
        </w:rPr>
        <w:t xml:space="preserve"> Earmarked Reserves</w:t>
      </w:r>
      <w:r w:rsidR="002853B4">
        <w:rPr>
          <w:rFonts w:cs="Arial"/>
          <w:b/>
        </w:rPr>
        <w:t xml:space="preserve"> and Working Balances</w:t>
      </w:r>
    </w:p>
    <w:p w:rsidR="004C6133" w:rsidRPr="00397398" w:rsidRDefault="009A6C4D" w:rsidP="00D21BC1">
      <w:pPr>
        <w:ind w:left="426" w:hanging="426"/>
        <w:rPr>
          <w:rFonts w:cs="Arial"/>
        </w:rPr>
      </w:pPr>
      <w:r w:rsidRPr="009A6C4D">
        <w:rPr>
          <w:rFonts w:cs="Arial"/>
        </w:rPr>
        <w:t>1</w:t>
      </w:r>
      <w:r w:rsidR="00DA5047">
        <w:rPr>
          <w:rFonts w:cs="Arial"/>
        </w:rPr>
        <w:t>6</w:t>
      </w:r>
      <w:r w:rsidR="00D21BC1">
        <w:rPr>
          <w:rFonts w:cs="Arial"/>
        </w:rPr>
        <w:tab/>
      </w:r>
      <w:r w:rsidR="004C6133" w:rsidRPr="009A6C4D">
        <w:rPr>
          <w:rFonts w:cs="Arial"/>
        </w:rPr>
        <w:t>Please note that the year-end variance of £2.565 million has been transferred to</w:t>
      </w:r>
      <w:r w:rsidR="00310C5C" w:rsidRPr="00397398">
        <w:rPr>
          <w:rFonts w:cs="Arial"/>
        </w:rPr>
        <w:t xml:space="preserve"> / (from)</w:t>
      </w:r>
      <w:r w:rsidR="004C6133" w:rsidRPr="00397398">
        <w:rPr>
          <w:rFonts w:cs="Arial"/>
        </w:rPr>
        <w:t xml:space="preserve"> earmarked reserves as follows: -</w:t>
      </w:r>
    </w:p>
    <w:p w:rsidR="004C6133" w:rsidRPr="00D04D45" w:rsidRDefault="004C6133" w:rsidP="004C6133">
      <w:pPr>
        <w:ind w:left="426"/>
        <w:rPr>
          <w:rFonts w:cs="Arial"/>
        </w:rPr>
      </w:pPr>
    </w:p>
    <w:tbl>
      <w:tblPr>
        <w:tblW w:w="7564" w:type="dxa"/>
        <w:tblInd w:w="720" w:type="dxa"/>
        <w:tblLook w:val="04A0" w:firstRow="1" w:lastRow="0" w:firstColumn="1" w:lastColumn="0" w:noHBand="0" w:noVBand="1"/>
      </w:tblPr>
      <w:tblGrid>
        <w:gridCol w:w="5868"/>
        <w:gridCol w:w="1696"/>
      </w:tblGrid>
      <w:tr w:rsidR="004C6133" w:rsidRPr="00D04D45" w:rsidTr="00D15B07">
        <w:trPr>
          <w:trHeight w:val="300"/>
        </w:trPr>
        <w:tc>
          <w:tcPr>
            <w:tcW w:w="5868" w:type="dxa"/>
            <w:tcBorders>
              <w:top w:val="nil"/>
              <w:left w:val="nil"/>
              <w:bottom w:val="nil"/>
              <w:right w:val="nil"/>
            </w:tcBorders>
            <w:shd w:val="clear" w:color="auto" w:fill="auto"/>
            <w:noWrap/>
            <w:vAlign w:val="bottom"/>
            <w:hideMark/>
          </w:tcPr>
          <w:p w:rsidR="004C6133" w:rsidRPr="00D04D45" w:rsidRDefault="004C6133" w:rsidP="00D15B07">
            <w:pPr>
              <w:rPr>
                <w:rFonts w:cs="Arial"/>
                <w:lang w:eastAsia="en-GB"/>
              </w:rPr>
            </w:pPr>
          </w:p>
        </w:tc>
        <w:tc>
          <w:tcPr>
            <w:tcW w:w="1696" w:type="dxa"/>
            <w:tcBorders>
              <w:top w:val="nil"/>
              <w:left w:val="nil"/>
              <w:bottom w:val="nil"/>
              <w:right w:val="nil"/>
            </w:tcBorders>
            <w:shd w:val="clear" w:color="auto" w:fill="auto"/>
            <w:noWrap/>
            <w:vAlign w:val="bottom"/>
            <w:hideMark/>
          </w:tcPr>
          <w:p w:rsidR="004C6133" w:rsidRPr="00D04D45" w:rsidRDefault="004C6133" w:rsidP="00D15B07">
            <w:pPr>
              <w:jc w:val="center"/>
              <w:rPr>
                <w:rFonts w:cs="Arial"/>
                <w:lang w:eastAsia="en-GB"/>
              </w:rPr>
            </w:pPr>
            <w:r w:rsidRPr="00D04D45">
              <w:rPr>
                <w:rFonts w:cs="Arial"/>
                <w:lang w:eastAsia="en-GB"/>
              </w:rPr>
              <w:t>£ million</w:t>
            </w:r>
          </w:p>
        </w:tc>
      </w:tr>
      <w:tr w:rsidR="004C6133" w:rsidRPr="00D04D45" w:rsidTr="00D15B07">
        <w:trPr>
          <w:trHeight w:val="300"/>
        </w:trPr>
        <w:tc>
          <w:tcPr>
            <w:tcW w:w="5868" w:type="dxa"/>
            <w:tcBorders>
              <w:top w:val="nil"/>
              <w:left w:val="nil"/>
              <w:bottom w:val="nil"/>
              <w:right w:val="nil"/>
            </w:tcBorders>
            <w:shd w:val="clear" w:color="auto" w:fill="auto"/>
            <w:noWrap/>
            <w:vAlign w:val="bottom"/>
            <w:hideMark/>
          </w:tcPr>
          <w:p w:rsidR="004C6133" w:rsidRPr="00D04D45" w:rsidRDefault="00D44BB0" w:rsidP="00D15B07">
            <w:pPr>
              <w:rPr>
                <w:rFonts w:cs="Arial"/>
                <w:lang w:eastAsia="en-GB"/>
              </w:rPr>
            </w:pPr>
            <w:r w:rsidRPr="00D04D45">
              <w:rPr>
                <w:rFonts w:cs="Arial"/>
                <w:lang w:eastAsia="en-GB"/>
              </w:rPr>
              <w:t>HRA Capital Reserve (for slipped capital scheme funding)</w:t>
            </w:r>
          </w:p>
        </w:tc>
        <w:tc>
          <w:tcPr>
            <w:tcW w:w="1696" w:type="dxa"/>
            <w:tcBorders>
              <w:top w:val="nil"/>
              <w:left w:val="nil"/>
              <w:bottom w:val="nil"/>
              <w:right w:val="nil"/>
            </w:tcBorders>
            <w:shd w:val="clear" w:color="auto" w:fill="auto"/>
            <w:noWrap/>
            <w:vAlign w:val="bottom"/>
            <w:hideMark/>
          </w:tcPr>
          <w:p w:rsidR="004C6133" w:rsidRPr="00D04D45" w:rsidRDefault="00310C5C" w:rsidP="00B706F6">
            <w:pPr>
              <w:jc w:val="right"/>
              <w:rPr>
                <w:rFonts w:cs="Arial"/>
                <w:lang w:eastAsia="en-GB"/>
              </w:rPr>
            </w:pPr>
            <w:r w:rsidRPr="00D04D45">
              <w:rPr>
                <w:rFonts w:cs="Arial"/>
                <w:lang w:eastAsia="en-GB"/>
              </w:rPr>
              <w:t>1.</w:t>
            </w:r>
            <w:r w:rsidR="00B706F6">
              <w:rPr>
                <w:rFonts w:cs="Arial"/>
                <w:lang w:eastAsia="en-GB"/>
              </w:rPr>
              <w:t>510</w:t>
            </w:r>
          </w:p>
        </w:tc>
      </w:tr>
      <w:tr w:rsidR="004C6133" w:rsidRPr="00D04D45" w:rsidTr="00D15B07">
        <w:trPr>
          <w:trHeight w:val="300"/>
        </w:trPr>
        <w:tc>
          <w:tcPr>
            <w:tcW w:w="5868" w:type="dxa"/>
            <w:tcBorders>
              <w:top w:val="nil"/>
              <w:left w:val="nil"/>
              <w:bottom w:val="nil"/>
              <w:right w:val="nil"/>
            </w:tcBorders>
            <w:shd w:val="clear" w:color="auto" w:fill="auto"/>
            <w:noWrap/>
            <w:vAlign w:val="bottom"/>
            <w:hideMark/>
          </w:tcPr>
          <w:p w:rsidR="004C6133" w:rsidRPr="00D04D45" w:rsidRDefault="00D44BB0" w:rsidP="00D15B07">
            <w:pPr>
              <w:rPr>
                <w:rFonts w:cs="Arial"/>
                <w:lang w:eastAsia="en-GB"/>
              </w:rPr>
            </w:pPr>
            <w:r w:rsidRPr="00D04D45">
              <w:rPr>
                <w:rFonts w:cs="Arial"/>
                <w:lang w:eastAsia="en-GB"/>
              </w:rPr>
              <w:t>Direct payment project arrears reserve</w:t>
            </w:r>
          </w:p>
        </w:tc>
        <w:tc>
          <w:tcPr>
            <w:tcW w:w="1696" w:type="dxa"/>
            <w:tcBorders>
              <w:top w:val="nil"/>
              <w:left w:val="nil"/>
              <w:bottom w:val="nil"/>
              <w:right w:val="nil"/>
            </w:tcBorders>
            <w:shd w:val="clear" w:color="auto" w:fill="auto"/>
            <w:noWrap/>
            <w:vAlign w:val="bottom"/>
            <w:hideMark/>
          </w:tcPr>
          <w:p w:rsidR="004C6133" w:rsidRPr="00D04D45" w:rsidRDefault="00310C5C" w:rsidP="00310C5C">
            <w:pPr>
              <w:jc w:val="right"/>
              <w:rPr>
                <w:rFonts w:cs="Arial"/>
                <w:lang w:eastAsia="en-GB"/>
              </w:rPr>
            </w:pPr>
            <w:r w:rsidRPr="00D04D45">
              <w:rPr>
                <w:rFonts w:cs="Arial"/>
                <w:lang w:eastAsia="en-GB"/>
              </w:rPr>
              <w:t>(0</w:t>
            </w:r>
            <w:r w:rsidR="004C6133" w:rsidRPr="00D04D45">
              <w:rPr>
                <w:rFonts w:cs="Arial"/>
                <w:lang w:eastAsia="en-GB"/>
              </w:rPr>
              <w:t>.</w:t>
            </w:r>
            <w:r w:rsidRPr="00D04D45">
              <w:rPr>
                <w:rFonts w:cs="Arial"/>
                <w:lang w:eastAsia="en-GB"/>
              </w:rPr>
              <w:t>052)</w:t>
            </w:r>
          </w:p>
        </w:tc>
      </w:tr>
      <w:tr w:rsidR="004C6133" w:rsidRPr="00D04D45" w:rsidTr="00D15B07">
        <w:trPr>
          <w:trHeight w:val="300"/>
        </w:trPr>
        <w:tc>
          <w:tcPr>
            <w:tcW w:w="5868" w:type="dxa"/>
            <w:tcBorders>
              <w:top w:val="nil"/>
              <w:left w:val="nil"/>
              <w:bottom w:val="nil"/>
              <w:right w:val="nil"/>
            </w:tcBorders>
            <w:shd w:val="clear" w:color="auto" w:fill="auto"/>
            <w:noWrap/>
            <w:vAlign w:val="bottom"/>
            <w:hideMark/>
          </w:tcPr>
          <w:p w:rsidR="004C6133" w:rsidRPr="00D04D45" w:rsidRDefault="00D44BB0" w:rsidP="00D15B07">
            <w:pPr>
              <w:rPr>
                <w:rFonts w:cs="Arial"/>
                <w:lang w:eastAsia="en-GB"/>
              </w:rPr>
            </w:pPr>
            <w:r w:rsidRPr="00D04D45">
              <w:rPr>
                <w:rFonts w:cs="Arial"/>
                <w:lang w:eastAsia="en-GB"/>
              </w:rPr>
              <w:t>Additional Funding for the Tower Block scheme</w:t>
            </w:r>
          </w:p>
        </w:tc>
        <w:tc>
          <w:tcPr>
            <w:tcW w:w="1696" w:type="dxa"/>
            <w:tcBorders>
              <w:top w:val="nil"/>
              <w:left w:val="nil"/>
              <w:bottom w:val="nil"/>
              <w:right w:val="nil"/>
            </w:tcBorders>
            <w:shd w:val="clear" w:color="auto" w:fill="auto"/>
            <w:noWrap/>
            <w:vAlign w:val="bottom"/>
            <w:hideMark/>
          </w:tcPr>
          <w:p w:rsidR="004C6133" w:rsidRPr="00D04D45" w:rsidRDefault="004C6133" w:rsidP="00310C5C">
            <w:pPr>
              <w:jc w:val="right"/>
              <w:rPr>
                <w:rFonts w:cs="Arial"/>
                <w:lang w:eastAsia="en-GB"/>
              </w:rPr>
            </w:pPr>
            <w:r w:rsidRPr="00D04D45">
              <w:rPr>
                <w:rFonts w:cs="Arial"/>
                <w:lang w:eastAsia="en-GB"/>
              </w:rPr>
              <w:t>0.</w:t>
            </w:r>
            <w:r w:rsidR="00310C5C" w:rsidRPr="00D04D45">
              <w:rPr>
                <w:rFonts w:cs="Arial"/>
                <w:lang w:eastAsia="en-GB"/>
              </w:rPr>
              <w:t>957</w:t>
            </w:r>
          </w:p>
        </w:tc>
      </w:tr>
      <w:tr w:rsidR="00D44BB0" w:rsidRPr="00D04D45" w:rsidTr="00D15B07">
        <w:trPr>
          <w:trHeight w:val="300"/>
        </w:trPr>
        <w:tc>
          <w:tcPr>
            <w:tcW w:w="5868" w:type="dxa"/>
            <w:tcBorders>
              <w:top w:val="nil"/>
              <w:left w:val="nil"/>
              <w:bottom w:val="nil"/>
              <w:right w:val="nil"/>
            </w:tcBorders>
            <w:shd w:val="clear" w:color="auto" w:fill="auto"/>
            <w:noWrap/>
            <w:vAlign w:val="bottom"/>
          </w:tcPr>
          <w:p w:rsidR="00D44BB0" w:rsidRPr="00D04D45" w:rsidRDefault="00D44BB0" w:rsidP="00D15B07">
            <w:pPr>
              <w:rPr>
                <w:rFonts w:cs="Arial"/>
                <w:lang w:eastAsia="en-GB"/>
              </w:rPr>
            </w:pPr>
          </w:p>
        </w:tc>
        <w:tc>
          <w:tcPr>
            <w:tcW w:w="1696" w:type="dxa"/>
            <w:tcBorders>
              <w:top w:val="nil"/>
              <w:left w:val="nil"/>
              <w:bottom w:val="nil"/>
              <w:right w:val="nil"/>
            </w:tcBorders>
            <w:shd w:val="clear" w:color="auto" w:fill="auto"/>
            <w:noWrap/>
            <w:vAlign w:val="bottom"/>
          </w:tcPr>
          <w:p w:rsidR="00D44BB0" w:rsidRPr="00D04D45" w:rsidRDefault="00D44BB0" w:rsidP="00310C5C">
            <w:pPr>
              <w:jc w:val="right"/>
              <w:rPr>
                <w:rFonts w:cs="Arial"/>
                <w:lang w:eastAsia="en-GB"/>
              </w:rPr>
            </w:pPr>
          </w:p>
        </w:tc>
      </w:tr>
      <w:tr w:rsidR="00D44BB0" w:rsidRPr="00D04D45" w:rsidTr="00D15B07">
        <w:trPr>
          <w:trHeight w:val="300"/>
        </w:trPr>
        <w:tc>
          <w:tcPr>
            <w:tcW w:w="5868" w:type="dxa"/>
            <w:tcBorders>
              <w:top w:val="nil"/>
              <w:left w:val="nil"/>
              <w:bottom w:val="nil"/>
              <w:right w:val="nil"/>
            </w:tcBorders>
            <w:shd w:val="clear" w:color="auto" w:fill="auto"/>
            <w:noWrap/>
            <w:vAlign w:val="bottom"/>
          </w:tcPr>
          <w:p w:rsidR="00D44BB0" w:rsidRPr="00D04D45" w:rsidRDefault="00310C5C" w:rsidP="00D15B07">
            <w:pPr>
              <w:rPr>
                <w:rFonts w:cs="Arial"/>
                <w:lang w:eastAsia="en-GB"/>
              </w:rPr>
            </w:pPr>
            <w:r w:rsidRPr="00D04D45">
              <w:rPr>
                <w:rFonts w:cs="Arial"/>
                <w:lang w:eastAsia="en-GB"/>
              </w:rPr>
              <w:t>Albert House Sinking Fund Reserve</w:t>
            </w:r>
          </w:p>
        </w:tc>
        <w:tc>
          <w:tcPr>
            <w:tcW w:w="1696" w:type="dxa"/>
            <w:tcBorders>
              <w:top w:val="nil"/>
              <w:left w:val="nil"/>
              <w:bottom w:val="nil"/>
              <w:right w:val="nil"/>
            </w:tcBorders>
            <w:shd w:val="clear" w:color="auto" w:fill="auto"/>
            <w:noWrap/>
            <w:vAlign w:val="bottom"/>
          </w:tcPr>
          <w:p w:rsidR="00D44BB0" w:rsidRPr="00D04D45" w:rsidRDefault="00310C5C" w:rsidP="00310C5C">
            <w:pPr>
              <w:jc w:val="right"/>
              <w:rPr>
                <w:rFonts w:cs="Arial"/>
                <w:lang w:eastAsia="en-GB"/>
              </w:rPr>
            </w:pPr>
            <w:r w:rsidRPr="00D04D45">
              <w:rPr>
                <w:rFonts w:cs="Arial"/>
                <w:lang w:eastAsia="en-GB"/>
              </w:rPr>
              <w:t>0.060</w:t>
            </w:r>
          </w:p>
        </w:tc>
      </w:tr>
      <w:tr w:rsidR="00310C5C" w:rsidRPr="00D04D45" w:rsidTr="00D15B07">
        <w:trPr>
          <w:trHeight w:val="300"/>
        </w:trPr>
        <w:tc>
          <w:tcPr>
            <w:tcW w:w="5868" w:type="dxa"/>
            <w:tcBorders>
              <w:top w:val="nil"/>
              <w:left w:val="nil"/>
              <w:bottom w:val="nil"/>
              <w:right w:val="nil"/>
            </w:tcBorders>
            <w:shd w:val="clear" w:color="auto" w:fill="auto"/>
            <w:noWrap/>
            <w:vAlign w:val="bottom"/>
          </w:tcPr>
          <w:p w:rsidR="00310C5C" w:rsidRPr="00D04D45" w:rsidRDefault="00310C5C" w:rsidP="00D15B07">
            <w:pPr>
              <w:rPr>
                <w:rFonts w:cs="Arial"/>
                <w:lang w:eastAsia="en-GB"/>
              </w:rPr>
            </w:pPr>
            <w:r w:rsidRPr="00D04D45">
              <w:rPr>
                <w:rFonts w:cs="Arial"/>
                <w:lang w:eastAsia="en-GB"/>
              </w:rPr>
              <w:t>Green Deal Reserve Contribution</w:t>
            </w:r>
          </w:p>
        </w:tc>
        <w:tc>
          <w:tcPr>
            <w:tcW w:w="1696" w:type="dxa"/>
            <w:tcBorders>
              <w:top w:val="nil"/>
              <w:left w:val="nil"/>
              <w:bottom w:val="nil"/>
              <w:right w:val="nil"/>
            </w:tcBorders>
            <w:shd w:val="clear" w:color="auto" w:fill="auto"/>
            <w:noWrap/>
            <w:vAlign w:val="bottom"/>
          </w:tcPr>
          <w:p w:rsidR="00310C5C" w:rsidRPr="00D04D45" w:rsidRDefault="00310C5C" w:rsidP="00310C5C">
            <w:pPr>
              <w:jc w:val="right"/>
              <w:rPr>
                <w:rFonts w:cs="Arial"/>
                <w:lang w:eastAsia="en-GB"/>
              </w:rPr>
            </w:pPr>
            <w:r w:rsidRPr="00D04D45">
              <w:rPr>
                <w:rFonts w:cs="Arial"/>
                <w:lang w:eastAsia="en-GB"/>
              </w:rPr>
              <w:t>0.090</w:t>
            </w:r>
          </w:p>
        </w:tc>
      </w:tr>
      <w:tr w:rsidR="004C6133" w:rsidRPr="00D04D45" w:rsidTr="00D15B07">
        <w:trPr>
          <w:trHeight w:val="300"/>
        </w:trPr>
        <w:tc>
          <w:tcPr>
            <w:tcW w:w="5868" w:type="dxa"/>
            <w:tcBorders>
              <w:top w:val="nil"/>
              <w:left w:val="nil"/>
              <w:bottom w:val="nil"/>
              <w:right w:val="nil"/>
            </w:tcBorders>
            <w:shd w:val="clear" w:color="auto" w:fill="auto"/>
            <w:noWrap/>
            <w:vAlign w:val="bottom"/>
            <w:hideMark/>
          </w:tcPr>
          <w:p w:rsidR="004C6133" w:rsidRPr="00D04D45" w:rsidRDefault="004C6133" w:rsidP="00D15B07">
            <w:pPr>
              <w:rPr>
                <w:rFonts w:cs="Arial"/>
                <w:lang w:eastAsia="en-GB"/>
              </w:rPr>
            </w:pPr>
          </w:p>
        </w:tc>
        <w:tc>
          <w:tcPr>
            <w:tcW w:w="1696" w:type="dxa"/>
            <w:tcBorders>
              <w:top w:val="nil"/>
              <w:left w:val="nil"/>
              <w:bottom w:val="nil"/>
              <w:right w:val="nil"/>
            </w:tcBorders>
            <w:shd w:val="clear" w:color="auto" w:fill="auto"/>
            <w:noWrap/>
            <w:vAlign w:val="bottom"/>
            <w:hideMark/>
          </w:tcPr>
          <w:p w:rsidR="004C6133" w:rsidRPr="00D04D45" w:rsidRDefault="004C6133" w:rsidP="00310C5C">
            <w:pPr>
              <w:jc w:val="right"/>
              <w:rPr>
                <w:rFonts w:cs="Arial"/>
                <w:lang w:eastAsia="en-GB"/>
              </w:rPr>
            </w:pPr>
          </w:p>
        </w:tc>
      </w:tr>
      <w:tr w:rsidR="004C6133" w:rsidRPr="00D04D45" w:rsidTr="00D15B07">
        <w:trPr>
          <w:trHeight w:val="315"/>
        </w:trPr>
        <w:tc>
          <w:tcPr>
            <w:tcW w:w="5868" w:type="dxa"/>
            <w:tcBorders>
              <w:top w:val="nil"/>
              <w:left w:val="nil"/>
              <w:bottom w:val="nil"/>
              <w:right w:val="nil"/>
            </w:tcBorders>
            <w:shd w:val="clear" w:color="auto" w:fill="auto"/>
            <w:noWrap/>
            <w:vAlign w:val="bottom"/>
            <w:hideMark/>
          </w:tcPr>
          <w:p w:rsidR="004C6133" w:rsidRPr="00D04D45" w:rsidRDefault="004C6133" w:rsidP="00D15B07">
            <w:pPr>
              <w:rPr>
                <w:rFonts w:cs="Arial"/>
                <w:lang w:eastAsia="en-GB"/>
              </w:rPr>
            </w:pPr>
          </w:p>
        </w:tc>
        <w:tc>
          <w:tcPr>
            <w:tcW w:w="1696" w:type="dxa"/>
            <w:tcBorders>
              <w:top w:val="single" w:sz="4" w:space="0" w:color="auto"/>
              <w:left w:val="nil"/>
              <w:bottom w:val="double" w:sz="6" w:space="0" w:color="auto"/>
              <w:right w:val="nil"/>
            </w:tcBorders>
            <w:shd w:val="clear" w:color="auto" w:fill="auto"/>
            <w:noWrap/>
            <w:vAlign w:val="bottom"/>
            <w:hideMark/>
          </w:tcPr>
          <w:p w:rsidR="004C6133" w:rsidRPr="00D04D45" w:rsidRDefault="00310C5C" w:rsidP="00310C5C">
            <w:pPr>
              <w:jc w:val="right"/>
              <w:rPr>
                <w:rFonts w:cs="Arial"/>
                <w:lang w:eastAsia="en-GB"/>
              </w:rPr>
            </w:pPr>
            <w:r w:rsidRPr="00D04D45">
              <w:rPr>
                <w:rFonts w:cs="Arial"/>
                <w:lang w:eastAsia="en-GB"/>
              </w:rPr>
              <w:t>2.565</w:t>
            </w:r>
          </w:p>
        </w:tc>
      </w:tr>
    </w:tbl>
    <w:p w:rsidR="004D79A4" w:rsidRPr="00D04D45" w:rsidRDefault="004D79A4" w:rsidP="004C6133">
      <w:pPr>
        <w:ind w:left="426"/>
        <w:rPr>
          <w:rFonts w:cs="Arial"/>
        </w:rPr>
      </w:pPr>
    </w:p>
    <w:p w:rsidR="00CE5596" w:rsidRPr="009A6C4D" w:rsidRDefault="009A6C4D" w:rsidP="00D21BC1">
      <w:pPr>
        <w:ind w:left="426" w:hanging="426"/>
        <w:rPr>
          <w:rFonts w:cs="Arial"/>
        </w:rPr>
      </w:pPr>
      <w:r w:rsidRPr="009A6C4D">
        <w:rPr>
          <w:rFonts w:cs="Arial"/>
        </w:rPr>
        <w:t>17</w:t>
      </w:r>
      <w:r w:rsidR="00D21BC1">
        <w:rPr>
          <w:rFonts w:cs="Arial"/>
        </w:rPr>
        <w:tab/>
      </w:r>
      <w:r w:rsidR="00CE5596" w:rsidRPr="009A6C4D">
        <w:rPr>
          <w:rFonts w:cs="Arial"/>
        </w:rPr>
        <w:t>At 1</w:t>
      </w:r>
      <w:r w:rsidR="00CE5596" w:rsidRPr="009A6C4D">
        <w:rPr>
          <w:rFonts w:cs="Arial"/>
          <w:vertAlign w:val="superscript"/>
        </w:rPr>
        <w:t>st</w:t>
      </w:r>
      <w:r w:rsidR="00CE5596" w:rsidRPr="009A6C4D">
        <w:rPr>
          <w:rFonts w:cs="Arial"/>
        </w:rPr>
        <w:t xml:space="preserve"> April 201</w:t>
      </w:r>
      <w:r w:rsidR="0092618C" w:rsidRPr="009A6C4D">
        <w:rPr>
          <w:rFonts w:cs="Arial"/>
        </w:rPr>
        <w:t>4</w:t>
      </w:r>
      <w:r w:rsidR="00CE5596" w:rsidRPr="009A6C4D">
        <w:rPr>
          <w:rFonts w:cs="Arial"/>
        </w:rPr>
        <w:t>, the HRA held £</w:t>
      </w:r>
      <w:r w:rsidR="0092618C" w:rsidRPr="009A6C4D">
        <w:rPr>
          <w:rFonts w:cs="Arial"/>
        </w:rPr>
        <w:t>8</w:t>
      </w:r>
      <w:r w:rsidR="0068485E" w:rsidRPr="009A6C4D">
        <w:rPr>
          <w:rFonts w:cs="Arial"/>
        </w:rPr>
        <w:t>.</w:t>
      </w:r>
      <w:r w:rsidR="0092618C" w:rsidRPr="009A6C4D">
        <w:rPr>
          <w:rFonts w:cs="Arial"/>
        </w:rPr>
        <w:t>464</w:t>
      </w:r>
      <w:r w:rsidR="00CE5596" w:rsidRPr="009A6C4D">
        <w:rPr>
          <w:rFonts w:cs="Arial"/>
        </w:rPr>
        <w:t xml:space="preserve"> million in earmarked reserves.  </w:t>
      </w:r>
      <w:r w:rsidR="00C045D2" w:rsidRPr="009A6C4D">
        <w:rPr>
          <w:rFonts w:cs="Arial"/>
        </w:rPr>
        <w:t>As at 31</w:t>
      </w:r>
      <w:r w:rsidR="00C045D2" w:rsidRPr="009A6C4D">
        <w:rPr>
          <w:rFonts w:cs="Arial"/>
          <w:vertAlign w:val="superscript"/>
        </w:rPr>
        <w:t>st</w:t>
      </w:r>
      <w:r w:rsidR="00C045D2" w:rsidRPr="009A6C4D">
        <w:rPr>
          <w:rFonts w:cs="Arial"/>
        </w:rPr>
        <w:t xml:space="preserve"> March 201</w:t>
      </w:r>
      <w:r w:rsidR="0092618C" w:rsidRPr="009A6C4D">
        <w:rPr>
          <w:rFonts w:cs="Arial"/>
        </w:rPr>
        <w:t>5</w:t>
      </w:r>
      <w:r w:rsidR="00C045D2" w:rsidRPr="009A6C4D">
        <w:rPr>
          <w:rFonts w:cs="Arial"/>
        </w:rPr>
        <w:t xml:space="preserve"> </w:t>
      </w:r>
      <w:r>
        <w:rPr>
          <w:rFonts w:cs="Arial"/>
        </w:rPr>
        <w:t xml:space="preserve">this had reduced to </w:t>
      </w:r>
      <w:r w:rsidR="00C045D2" w:rsidRPr="009A6C4D">
        <w:rPr>
          <w:rFonts w:cs="Arial"/>
        </w:rPr>
        <w:t>£</w:t>
      </w:r>
      <w:r w:rsidR="0092618C" w:rsidRPr="009A6C4D">
        <w:rPr>
          <w:rFonts w:cs="Arial"/>
        </w:rPr>
        <w:t>6</w:t>
      </w:r>
      <w:r w:rsidR="00FF187D" w:rsidRPr="009A6C4D">
        <w:rPr>
          <w:rFonts w:cs="Arial"/>
        </w:rPr>
        <w:t>.</w:t>
      </w:r>
      <w:r w:rsidR="0092618C" w:rsidRPr="009A6C4D">
        <w:rPr>
          <w:rFonts w:cs="Arial"/>
        </w:rPr>
        <w:t>066</w:t>
      </w:r>
      <w:r w:rsidR="00C045D2" w:rsidRPr="009A6C4D">
        <w:rPr>
          <w:rFonts w:cs="Arial"/>
        </w:rPr>
        <w:t xml:space="preserve"> million</w:t>
      </w:r>
      <w:r w:rsidR="0068485E" w:rsidRPr="009A6C4D">
        <w:rPr>
          <w:rFonts w:cs="Arial"/>
        </w:rPr>
        <w:t xml:space="preserve">, </w:t>
      </w:r>
      <w:r w:rsidR="00397398" w:rsidRPr="009A6C4D">
        <w:rPr>
          <w:rFonts w:cs="Arial"/>
        </w:rPr>
        <w:t xml:space="preserve">£5.510 million </w:t>
      </w:r>
      <w:r w:rsidR="00397398">
        <w:rPr>
          <w:rFonts w:cs="Arial"/>
        </w:rPr>
        <w:t xml:space="preserve">being </w:t>
      </w:r>
      <w:r w:rsidR="0068485E" w:rsidRPr="009A6C4D">
        <w:rPr>
          <w:rFonts w:cs="Arial"/>
        </w:rPr>
        <w:t xml:space="preserve">in the HRA </w:t>
      </w:r>
      <w:r w:rsidR="00FF187D" w:rsidRPr="009A6C4D">
        <w:rPr>
          <w:rFonts w:cs="Arial"/>
        </w:rPr>
        <w:t xml:space="preserve">Capital Funding </w:t>
      </w:r>
      <w:r w:rsidR="0068485E" w:rsidRPr="009A6C4D">
        <w:rPr>
          <w:rFonts w:cs="Arial"/>
        </w:rPr>
        <w:t>Reserve</w:t>
      </w:r>
      <w:r w:rsidR="00C045D2" w:rsidRPr="009A6C4D">
        <w:rPr>
          <w:rFonts w:cs="Arial"/>
        </w:rPr>
        <w:t>.</w:t>
      </w:r>
    </w:p>
    <w:p w:rsidR="00F932C4" w:rsidRDefault="00F932C4" w:rsidP="00F932C4">
      <w:pPr>
        <w:ind w:left="426"/>
        <w:rPr>
          <w:rFonts w:cs="Arial"/>
        </w:rPr>
      </w:pPr>
    </w:p>
    <w:p w:rsidR="00CE5596" w:rsidRPr="00FD0777" w:rsidRDefault="00397398" w:rsidP="00D21BC1">
      <w:pPr>
        <w:ind w:left="426" w:hanging="426"/>
        <w:rPr>
          <w:rFonts w:cs="Arial"/>
        </w:rPr>
      </w:pPr>
      <w:r w:rsidRPr="00397398">
        <w:rPr>
          <w:rFonts w:cs="Arial"/>
        </w:rPr>
        <w:t>18</w:t>
      </w:r>
      <w:r w:rsidR="00D21BC1">
        <w:rPr>
          <w:rFonts w:cs="Arial"/>
        </w:rPr>
        <w:tab/>
      </w:r>
      <w:r w:rsidR="00F932C4" w:rsidRPr="00397398">
        <w:rPr>
          <w:rFonts w:cs="Arial"/>
        </w:rPr>
        <w:t xml:space="preserve">In addition to earmarked reserves, the Council also maintains a level of </w:t>
      </w:r>
      <w:r w:rsidR="00F932C4" w:rsidRPr="00402651">
        <w:rPr>
          <w:rFonts w:cs="Arial"/>
        </w:rPr>
        <w:t xml:space="preserve">HRA working balances.  The HRA working balance brought forward at 1st </w:t>
      </w:r>
      <w:r w:rsidR="00AA055F" w:rsidRPr="00FD0777">
        <w:rPr>
          <w:rFonts w:cs="Arial"/>
        </w:rPr>
        <w:t>April 2014</w:t>
      </w:r>
      <w:r w:rsidR="00F932C4" w:rsidRPr="00FD0777">
        <w:rPr>
          <w:rFonts w:cs="Arial"/>
        </w:rPr>
        <w:t xml:space="preserve"> was £</w:t>
      </w:r>
      <w:r w:rsidR="00AA055F" w:rsidRPr="00FD0777">
        <w:rPr>
          <w:rFonts w:cs="Arial"/>
        </w:rPr>
        <w:t>4</w:t>
      </w:r>
      <w:r w:rsidR="00F932C4" w:rsidRPr="00FD0777">
        <w:rPr>
          <w:rFonts w:cs="Arial"/>
        </w:rPr>
        <w:t>.</w:t>
      </w:r>
      <w:r w:rsidR="00AA055F" w:rsidRPr="00FD0777">
        <w:rPr>
          <w:rFonts w:cs="Arial"/>
        </w:rPr>
        <w:t>0</w:t>
      </w:r>
      <w:r w:rsidR="00F932C4" w:rsidRPr="00FD0777">
        <w:rPr>
          <w:rFonts w:cs="Arial"/>
        </w:rPr>
        <w:t xml:space="preserve"> million and, after transfers to earmarked reserves, the level of working balance as at 31st March 201</w:t>
      </w:r>
      <w:r w:rsidR="00AA055F" w:rsidRPr="00FD0777">
        <w:rPr>
          <w:rFonts w:cs="Arial"/>
        </w:rPr>
        <w:t>5</w:t>
      </w:r>
      <w:r w:rsidR="00F932C4" w:rsidRPr="00FD0777">
        <w:rPr>
          <w:rFonts w:cs="Arial"/>
        </w:rPr>
        <w:t xml:space="preserve"> </w:t>
      </w:r>
      <w:r w:rsidR="00064BF8" w:rsidRPr="00FD0777">
        <w:rPr>
          <w:rFonts w:cs="Arial"/>
        </w:rPr>
        <w:t xml:space="preserve">remains at </w:t>
      </w:r>
      <w:r w:rsidR="00F932C4" w:rsidRPr="00FD0777">
        <w:rPr>
          <w:rFonts w:cs="Arial"/>
        </w:rPr>
        <w:t>£4</w:t>
      </w:r>
      <w:r w:rsidR="00AA055F" w:rsidRPr="00FD0777">
        <w:rPr>
          <w:rFonts w:cs="Arial"/>
        </w:rPr>
        <w:t>.0</w:t>
      </w:r>
      <w:r w:rsidR="00F932C4" w:rsidRPr="00FD0777">
        <w:rPr>
          <w:rFonts w:cs="Arial"/>
        </w:rPr>
        <w:t xml:space="preserve"> million.</w:t>
      </w:r>
    </w:p>
    <w:p w:rsidR="0033503E" w:rsidRDefault="0033503E" w:rsidP="00445174">
      <w:pPr>
        <w:tabs>
          <w:tab w:val="left" w:pos="-180"/>
        </w:tabs>
        <w:rPr>
          <w:rFonts w:cs="Arial"/>
        </w:rPr>
      </w:pPr>
    </w:p>
    <w:p w:rsidR="0033503E" w:rsidRPr="007C6046" w:rsidRDefault="0033503E" w:rsidP="0033503E">
      <w:pPr>
        <w:rPr>
          <w:rFonts w:cs="Arial"/>
          <w:b/>
        </w:rPr>
      </w:pPr>
      <w:r>
        <w:rPr>
          <w:rFonts w:cs="Arial"/>
          <w:b/>
        </w:rPr>
        <w:t>Capital</w:t>
      </w:r>
    </w:p>
    <w:p w:rsidR="0033503E" w:rsidRDefault="0033503E" w:rsidP="00445174">
      <w:pPr>
        <w:tabs>
          <w:tab w:val="left" w:pos="-180"/>
        </w:tabs>
        <w:rPr>
          <w:rFonts w:cs="Arial"/>
        </w:rPr>
      </w:pPr>
    </w:p>
    <w:p w:rsidR="00372049" w:rsidRPr="00D21BC1" w:rsidRDefault="00D21BC1" w:rsidP="00D21BC1">
      <w:pPr>
        <w:pStyle w:val="ListParagraph"/>
        <w:ind w:left="426" w:hanging="426"/>
        <w:rPr>
          <w:rFonts w:cs="Arial"/>
        </w:rPr>
      </w:pPr>
      <w:r w:rsidRPr="00D21BC1">
        <w:rPr>
          <w:rFonts w:cs="Arial"/>
        </w:rPr>
        <w:t>1</w:t>
      </w:r>
      <w:r>
        <w:rPr>
          <w:rFonts w:cs="Arial"/>
        </w:rPr>
        <w:t>9</w:t>
      </w:r>
      <w:r>
        <w:rPr>
          <w:rFonts w:cs="Arial"/>
        </w:rPr>
        <w:tab/>
      </w:r>
      <w:r w:rsidR="00372049" w:rsidRPr="00D21BC1">
        <w:rPr>
          <w:rFonts w:cs="Arial"/>
        </w:rPr>
        <w:t>Capital Programme expenditure for 201</w:t>
      </w:r>
      <w:r w:rsidR="00951E4F" w:rsidRPr="00D21BC1">
        <w:rPr>
          <w:rFonts w:cs="Arial"/>
        </w:rPr>
        <w:t>4</w:t>
      </w:r>
      <w:r w:rsidR="00372049" w:rsidRPr="00D21BC1">
        <w:rPr>
          <w:rFonts w:cs="Arial"/>
        </w:rPr>
        <w:t>/1</w:t>
      </w:r>
      <w:r w:rsidR="00951E4F" w:rsidRPr="00D21BC1">
        <w:rPr>
          <w:rFonts w:cs="Arial"/>
        </w:rPr>
        <w:t>5</w:t>
      </w:r>
      <w:r w:rsidR="00372049" w:rsidRPr="00D21BC1">
        <w:rPr>
          <w:rFonts w:cs="Arial"/>
        </w:rPr>
        <w:t xml:space="preserve"> was £</w:t>
      </w:r>
      <w:r w:rsidR="00951E4F" w:rsidRPr="00D21BC1">
        <w:rPr>
          <w:rFonts w:cs="Arial"/>
        </w:rPr>
        <w:t>26</w:t>
      </w:r>
      <w:r w:rsidR="00372049" w:rsidRPr="00D21BC1">
        <w:rPr>
          <w:rFonts w:cs="Arial"/>
        </w:rPr>
        <w:t>.</w:t>
      </w:r>
      <w:r w:rsidR="00951E4F" w:rsidRPr="00D21BC1">
        <w:rPr>
          <w:rFonts w:cs="Arial"/>
        </w:rPr>
        <w:t>750</w:t>
      </w:r>
      <w:r w:rsidR="00372049" w:rsidRPr="00D21BC1">
        <w:rPr>
          <w:rFonts w:cs="Arial"/>
        </w:rPr>
        <w:t xml:space="preserve"> million on the General Fund and £</w:t>
      </w:r>
      <w:r w:rsidR="00951E4F" w:rsidRPr="00D21BC1">
        <w:rPr>
          <w:rFonts w:cs="Arial"/>
        </w:rPr>
        <w:t>21</w:t>
      </w:r>
      <w:r w:rsidR="00372049" w:rsidRPr="00D21BC1">
        <w:rPr>
          <w:rFonts w:cs="Arial"/>
        </w:rPr>
        <w:t>.</w:t>
      </w:r>
      <w:r w:rsidR="00951E4F" w:rsidRPr="00D21BC1">
        <w:rPr>
          <w:rFonts w:cs="Arial"/>
        </w:rPr>
        <w:t>961</w:t>
      </w:r>
      <w:r w:rsidR="00372049" w:rsidRPr="00D21BC1">
        <w:rPr>
          <w:rFonts w:cs="Arial"/>
        </w:rPr>
        <w:t xml:space="preserve"> million on the HRA giving a total spend of £</w:t>
      </w:r>
      <w:r w:rsidR="00951E4F" w:rsidRPr="00D21BC1">
        <w:rPr>
          <w:rFonts w:cs="Arial"/>
        </w:rPr>
        <w:t>48</w:t>
      </w:r>
      <w:r w:rsidR="00372049" w:rsidRPr="00D21BC1">
        <w:rPr>
          <w:rFonts w:cs="Arial"/>
        </w:rPr>
        <w:t>.</w:t>
      </w:r>
      <w:r w:rsidR="00951E4F" w:rsidRPr="00D21BC1">
        <w:rPr>
          <w:rFonts w:cs="Arial"/>
        </w:rPr>
        <w:t>712</w:t>
      </w:r>
      <w:r w:rsidR="00372049" w:rsidRPr="00D21BC1">
        <w:rPr>
          <w:rFonts w:cs="Arial"/>
        </w:rPr>
        <w:t xml:space="preserve"> million.  </w:t>
      </w:r>
      <w:r w:rsidR="00951E4F" w:rsidRPr="00D21BC1">
        <w:rPr>
          <w:rFonts w:cs="Arial"/>
        </w:rPr>
        <w:t xml:space="preserve">This </w:t>
      </w:r>
      <w:r w:rsidR="00E8558E" w:rsidRPr="00D21BC1">
        <w:rPr>
          <w:rFonts w:cs="Arial"/>
        </w:rPr>
        <w:t xml:space="preserve">is the highest level of spend on capital </w:t>
      </w:r>
      <w:r w:rsidR="00D24733" w:rsidRPr="00D21BC1">
        <w:rPr>
          <w:rFonts w:cs="Arial"/>
        </w:rPr>
        <w:t xml:space="preserve">schemes </w:t>
      </w:r>
      <w:r w:rsidR="00E8558E" w:rsidRPr="00D21BC1">
        <w:rPr>
          <w:rFonts w:cs="Arial"/>
        </w:rPr>
        <w:t xml:space="preserve">in recent years </w:t>
      </w:r>
      <w:r w:rsidR="00397398" w:rsidRPr="00D21BC1">
        <w:rPr>
          <w:rFonts w:cs="Arial"/>
        </w:rPr>
        <w:t>(</w:t>
      </w:r>
      <w:r w:rsidR="00E8558E" w:rsidRPr="00D21BC1">
        <w:rPr>
          <w:rFonts w:cs="Arial"/>
        </w:rPr>
        <w:t>£22 million</w:t>
      </w:r>
      <w:r w:rsidR="00D24733" w:rsidRPr="00D21BC1">
        <w:rPr>
          <w:rFonts w:cs="Arial"/>
        </w:rPr>
        <w:t xml:space="preserve"> in 2013/14; £</w:t>
      </w:r>
      <w:r w:rsidR="00E8558E" w:rsidRPr="00D21BC1">
        <w:rPr>
          <w:rFonts w:cs="Arial"/>
        </w:rPr>
        <w:t>16.3</w:t>
      </w:r>
      <w:r w:rsidR="00D24733" w:rsidRPr="00D21BC1">
        <w:rPr>
          <w:rFonts w:cs="Arial"/>
        </w:rPr>
        <w:t xml:space="preserve"> </w:t>
      </w:r>
      <w:r w:rsidR="00E8558E" w:rsidRPr="00D21BC1">
        <w:rPr>
          <w:rFonts w:cs="Arial"/>
        </w:rPr>
        <w:t>m</w:t>
      </w:r>
      <w:r w:rsidR="00D24733" w:rsidRPr="00D21BC1">
        <w:rPr>
          <w:rFonts w:cs="Arial"/>
        </w:rPr>
        <w:t>illion in 2012/13 and £22 million in 2011/12</w:t>
      </w:r>
      <w:r w:rsidR="00397398" w:rsidRPr="00D21BC1">
        <w:rPr>
          <w:rFonts w:cs="Arial"/>
        </w:rPr>
        <w:t>)</w:t>
      </w:r>
      <w:r w:rsidR="00D24733" w:rsidRPr="00D21BC1">
        <w:rPr>
          <w:rFonts w:cs="Arial"/>
        </w:rPr>
        <w:t xml:space="preserve">. </w:t>
      </w:r>
    </w:p>
    <w:p w:rsidR="000D32D5" w:rsidRDefault="000D32D5" w:rsidP="00D24733">
      <w:pPr>
        <w:ind w:left="426"/>
        <w:rPr>
          <w:rFonts w:cs="Arial"/>
        </w:rPr>
      </w:pPr>
    </w:p>
    <w:p w:rsidR="000D32D5" w:rsidRDefault="00D21BC1" w:rsidP="00D21BC1">
      <w:pPr>
        <w:ind w:left="426" w:hanging="426"/>
        <w:rPr>
          <w:rFonts w:cs="Arial"/>
        </w:rPr>
      </w:pPr>
      <w:r>
        <w:rPr>
          <w:rFonts w:cs="Arial"/>
        </w:rPr>
        <w:t>20</w:t>
      </w:r>
      <w:r>
        <w:rPr>
          <w:rFonts w:cs="Arial"/>
        </w:rPr>
        <w:tab/>
      </w:r>
      <w:r w:rsidR="004D79A4">
        <w:rPr>
          <w:rFonts w:cs="Arial"/>
        </w:rPr>
        <w:t xml:space="preserve">The Council has implemented a Capital </w:t>
      </w:r>
      <w:r w:rsidR="00E8558E">
        <w:rPr>
          <w:rFonts w:cs="Arial"/>
        </w:rPr>
        <w:t>Gateway</w:t>
      </w:r>
      <w:r w:rsidR="004D79A4">
        <w:rPr>
          <w:rFonts w:cs="Arial"/>
        </w:rPr>
        <w:t xml:space="preserve"> process which means that the Council’s capital processes are more robust.  As the process becomes more embedded over the next few years, the Council should expect that its actual capital spend will align even more closely with its initial capital proposals.</w:t>
      </w:r>
    </w:p>
    <w:p w:rsidR="00372049" w:rsidRDefault="00372049" w:rsidP="000A6EFA">
      <w:pPr>
        <w:ind w:left="426"/>
        <w:rPr>
          <w:rFonts w:cs="Arial"/>
        </w:rPr>
      </w:pPr>
    </w:p>
    <w:p w:rsidR="00372049" w:rsidRPr="00D81943" w:rsidRDefault="00D21BC1" w:rsidP="00D21BC1">
      <w:pPr>
        <w:ind w:left="426" w:hanging="426"/>
        <w:rPr>
          <w:rFonts w:cs="Arial"/>
        </w:rPr>
      </w:pPr>
      <w:r>
        <w:rPr>
          <w:rFonts w:cs="Arial"/>
        </w:rPr>
        <w:lastRenderedPageBreak/>
        <w:t>21</w:t>
      </w:r>
      <w:r>
        <w:rPr>
          <w:rFonts w:cs="Arial"/>
        </w:rPr>
        <w:tab/>
      </w:r>
      <w:r w:rsidR="00372049" w:rsidRPr="00D81943">
        <w:rPr>
          <w:rFonts w:cs="Arial"/>
        </w:rPr>
        <w:t xml:space="preserve">The expenditure is shown on a scheme by scheme basis at </w:t>
      </w:r>
      <w:r w:rsidR="005B0232" w:rsidRPr="00D81943">
        <w:rPr>
          <w:rFonts w:cs="Arial"/>
        </w:rPr>
        <w:t>A</w:t>
      </w:r>
      <w:r w:rsidR="00372049" w:rsidRPr="00D81943">
        <w:rPr>
          <w:rFonts w:cs="Arial"/>
        </w:rPr>
        <w:t>ppendix E2.  Th</w:t>
      </w:r>
      <w:r w:rsidR="005B0232" w:rsidRPr="00D81943">
        <w:rPr>
          <w:rFonts w:cs="Arial"/>
        </w:rPr>
        <w:t>e</w:t>
      </w:r>
      <w:r w:rsidR="00372049" w:rsidRPr="00D81943">
        <w:rPr>
          <w:rFonts w:cs="Arial"/>
        </w:rPr>
        <w:t xml:space="preserve"> </w:t>
      </w:r>
      <w:r w:rsidR="005B0232" w:rsidRPr="00D81943">
        <w:rPr>
          <w:rFonts w:cs="Arial"/>
        </w:rPr>
        <w:t>A</w:t>
      </w:r>
      <w:r w:rsidR="00372049" w:rsidRPr="00D81943">
        <w:rPr>
          <w:rFonts w:cs="Arial"/>
        </w:rPr>
        <w:t>ppendix also shows the detail of capital slippage.</w:t>
      </w:r>
      <w:r w:rsidR="000A6EFA" w:rsidRPr="00D81943">
        <w:rPr>
          <w:rFonts w:cs="Arial"/>
        </w:rPr>
        <w:t xml:space="preserve">  The </w:t>
      </w:r>
      <w:r w:rsidR="00607866" w:rsidRPr="00D81943">
        <w:rPr>
          <w:rFonts w:cs="Arial"/>
        </w:rPr>
        <w:t xml:space="preserve">total variance to the latest budget and a summary of the levels of slippage </w:t>
      </w:r>
      <w:r w:rsidR="00C84F7D" w:rsidRPr="00D81943">
        <w:rPr>
          <w:rFonts w:cs="Arial"/>
        </w:rPr>
        <w:t xml:space="preserve">and under / over spends </w:t>
      </w:r>
      <w:r w:rsidR="00607866" w:rsidRPr="00D81943">
        <w:rPr>
          <w:rFonts w:cs="Arial"/>
        </w:rPr>
        <w:t>is shown below:</w:t>
      </w:r>
    </w:p>
    <w:p w:rsidR="00607866" w:rsidRPr="00D81943" w:rsidRDefault="00607866" w:rsidP="00607866">
      <w:pPr>
        <w:pStyle w:val="ListParagraph"/>
        <w:ind w:left="0"/>
        <w:rPr>
          <w:rFonts w:cs="Arial"/>
        </w:rPr>
      </w:pPr>
    </w:p>
    <w:tbl>
      <w:tblPr>
        <w:tblW w:w="6540" w:type="dxa"/>
        <w:tblInd w:w="720" w:type="dxa"/>
        <w:tblLook w:val="04A0" w:firstRow="1" w:lastRow="0" w:firstColumn="1" w:lastColumn="0" w:noHBand="0" w:noVBand="1"/>
      </w:tblPr>
      <w:tblGrid>
        <w:gridCol w:w="1940"/>
        <w:gridCol w:w="1280"/>
        <w:gridCol w:w="1660"/>
        <w:gridCol w:w="1660"/>
      </w:tblGrid>
      <w:tr w:rsidR="00607866" w:rsidRPr="00D81943" w:rsidTr="00951E4F">
        <w:trPr>
          <w:trHeight w:val="1575"/>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280" w:type="dxa"/>
            <w:tcBorders>
              <w:top w:val="nil"/>
              <w:left w:val="nil"/>
              <w:bottom w:val="nil"/>
              <w:right w:val="nil"/>
            </w:tcBorders>
            <w:shd w:val="clear" w:color="auto" w:fill="auto"/>
            <w:hideMark/>
          </w:tcPr>
          <w:p w:rsidR="00607866" w:rsidRPr="00D81943" w:rsidRDefault="00607866" w:rsidP="00607866">
            <w:pPr>
              <w:jc w:val="center"/>
              <w:rPr>
                <w:rFonts w:cs="Arial"/>
                <w:b/>
                <w:bCs/>
                <w:color w:val="000000"/>
                <w:lang w:eastAsia="en-GB"/>
              </w:rPr>
            </w:pPr>
            <w:r w:rsidRPr="00D81943">
              <w:rPr>
                <w:rFonts w:cs="Arial"/>
                <w:b/>
                <w:bCs/>
                <w:color w:val="000000"/>
                <w:lang w:eastAsia="en-GB"/>
              </w:rPr>
              <w:t>Outturn Variance due to Slippage</w:t>
            </w:r>
          </w:p>
        </w:tc>
        <w:tc>
          <w:tcPr>
            <w:tcW w:w="1660" w:type="dxa"/>
            <w:tcBorders>
              <w:top w:val="nil"/>
              <w:left w:val="nil"/>
              <w:bottom w:val="nil"/>
              <w:right w:val="nil"/>
            </w:tcBorders>
            <w:shd w:val="clear" w:color="auto" w:fill="auto"/>
            <w:hideMark/>
          </w:tcPr>
          <w:p w:rsidR="00607866" w:rsidRPr="00D81943" w:rsidRDefault="00607866" w:rsidP="00607866">
            <w:pPr>
              <w:jc w:val="center"/>
              <w:rPr>
                <w:rFonts w:cs="Arial"/>
                <w:b/>
                <w:bCs/>
                <w:color w:val="000000"/>
                <w:lang w:eastAsia="en-GB"/>
              </w:rPr>
            </w:pPr>
            <w:r w:rsidRPr="00D81943">
              <w:rPr>
                <w:rFonts w:cs="Arial"/>
                <w:b/>
                <w:bCs/>
                <w:color w:val="000000"/>
                <w:lang w:eastAsia="en-GB"/>
              </w:rPr>
              <w:t>Ou</w:t>
            </w:r>
            <w:r w:rsidR="005E0B00" w:rsidRPr="00D81943">
              <w:rPr>
                <w:rFonts w:cs="Arial"/>
                <w:b/>
                <w:bCs/>
                <w:color w:val="000000"/>
                <w:lang w:eastAsia="en-GB"/>
              </w:rPr>
              <w:t>t</w:t>
            </w:r>
            <w:r w:rsidRPr="00D81943">
              <w:rPr>
                <w:rFonts w:cs="Arial"/>
                <w:b/>
                <w:bCs/>
                <w:color w:val="000000"/>
                <w:lang w:eastAsia="en-GB"/>
              </w:rPr>
              <w:t>turn variance due to Over/ Under(-) spend</w:t>
            </w:r>
          </w:p>
        </w:tc>
        <w:tc>
          <w:tcPr>
            <w:tcW w:w="1660" w:type="dxa"/>
            <w:tcBorders>
              <w:top w:val="nil"/>
              <w:left w:val="nil"/>
              <w:bottom w:val="nil"/>
              <w:right w:val="nil"/>
            </w:tcBorders>
            <w:shd w:val="clear" w:color="auto" w:fill="auto"/>
            <w:hideMark/>
          </w:tcPr>
          <w:p w:rsidR="00607866" w:rsidRPr="00D81943" w:rsidRDefault="00607866" w:rsidP="00607866">
            <w:pPr>
              <w:jc w:val="center"/>
              <w:rPr>
                <w:rFonts w:cs="Arial"/>
                <w:b/>
                <w:bCs/>
                <w:color w:val="000000"/>
                <w:lang w:eastAsia="en-GB"/>
              </w:rPr>
            </w:pPr>
            <w:r w:rsidRPr="00D81943">
              <w:rPr>
                <w:rFonts w:cs="Arial"/>
                <w:b/>
                <w:bCs/>
                <w:color w:val="000000"/>
                <w:lang w:eastAsia="en-GB"/>
              </w:rPr>
              <w:t>Total Outturn Variance to Latest Budget</w:t>
            </w:r>
          </w:p>
        </w:tc>
      </w:tr>
      <w:tr w:rsidR="00607866" w:rsidRPr="00D81943" w:rsidTr="00951E4F">
        <w:trPr>
          <w:trHeight w:val="315"/>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280" w:type="dxa"/>
            <w:tcBorders>
              <w:top w:val="nil"/>
              <w:left w:val="nil"/>
              <w:bottom w:val="nil"/>
              <w:right w:val="nil"/>
            </w:tcBorders>
            <w:shd w:val="clear" w:color="auto" w:fill="auto"/>
            <w:hideMark/>
          </w:tcPr>
          <w:p w:rsidR="00607866" w:rsidRPr="00D81943" w:rsidRDefault="00607866" w:rsidP="00607866">
            <w:pPr>
              <w:jc w:val="center"/>
              <w:rPr>
                <w:rFonts w:cs="Arial"/>
                <w:b/>
                <w:bCs/>
                <w:color w:val="000000"/>
                <w:lang w:eastAsia="en-GB"/>
              </w:rPr>
            </w:pPr>
            <w:r w:rsidRPr="00D81943">
              <w:rPr>
                <w:rFonts w:cs="Arial"/>
                <w:b/>
                <w:bCs/>
                <w:color w:val="000000"/>
                <w:lang w:eastAsia="en-GB"/>
              </w:rPr>
              <w:t>£ million</w:t>
            </w:r>
          </w:p>
        </w:tc>
        <w:tc>
          <w:tcPr>
            <w:tcW w:w="1660" w:type="dxa"/>
            <w:tcBorders>
              <w:top w:val="nil"/>
              <w:left w:val="nil"/>
              <w:bottom w:val="nil"/>
              <w:right w:val="nil"/>
            </w:tcBorders>
            <w:shd w:val="clear" w:color="auto" w:fill="auto"/>
            <w:hideMark/>
          </w:tcPr>
          <w:p w:rsidR="00607866" w:rsidRPr="00D81943" w:rsidRDefault="00607866" w:rsidP="00607866">
            <w:pPr>
              <w:jc w:val="center"/>
              <w:rPr>
                <w:rFonts w:cs="Arial"/>
                <w:b/>
                <w:bCs/>
                <w:color w:val="000000"/>
                <w:lang w:eastAsia="en-GB"/>
              </w:rPr>
            </w:pPr>
            <w:r w:rsidRPr="00D81943">
              <w:rPr>
                <w:rFonts w:cs="Arial"/>
                <w:b/>
                <w:bCs/>
                <w:color w:val="000000"/>
                <w:lang w:eastAsia="en-GB"/>
              </w:rPr>
              <w:t>£ million</w:t>
            </w:r>
          </w:p>
        </w:tc>
        <w:tc>
          <w:tcPr>
            <w:tcW w:w="1660" w:type="dxa"/>
            <w:tcBorders>
              <w:top w:val="nil"/>
              <w:left w:val="nil"/>
              <w:bottom w:val="nil"/>
              <w:right w:val="nil"/>
            </w:tcBorders>
            <w:shd w:val="clear" w:color="auto" w:fill="auto"/>
            <w:hideMark/>
          </w:tcPr>
          <w:p w:rsidR="00607866" w:rsidRPr="00D81943" w:rsidRDefault="00607866" w:rsidP="00607866">
            <w:pPr>
              <w:jc w:val="center"/>
              <w:rPr>
                <w:rFonts w:cs="Arial"/>
                <w:b/>
                <w:bCs/>
                <w:color w:val="000000"/>
                <w:lang w:eastAsia="en-GB"/>
              </w:rPr>
            </w:pPr>
            <w:r w:rsidRPr="00D81943">
              <w:rPr>
                <w:rFonts w:cs="Arial"/>
                <w:b/>
                <w:bCs/>
                <w:color w:val="000000"/>
                <w:lang w:eastAsia="en-GB"/>
              </w:rPr>
              <w:t>£ million</w:t>
            </w:r>
          </w:p>
        </w:tc>
      </w:tr>
      <w:tr w:rsidR="00607866" w:rsidRPr="00D81943" w:rsidTr="00951E4F">
        <w:trPr>
          <w:trHeight w:val="300"/>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28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66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66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r>
      <w:tr w:rsidR="00607866" w:rsidRPr="00D81943" w:rsidTr="00951E4F">
        <w:trPr>
          <w:trHeight w:val="300"/>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r w:rsidRPr="00D81943">
              <w:rPr>
                <w:rFonts w:cs="Arial"/>
                <w:color w:val="000000"/>
                <w:lang w:eastAsia="en-GB"/>
              </w:rPr>
              <w:t>General Fund</w:t>
            </w:r>
          </w:p>
        </w:tc>
        <w:tc>
          <w:tcPr>
            <w:tcW w:w="1280" w:type="dxa"/>
            <w:tcBorders>
              <w:top w:val="nil"/>
              <w:left w:val="nil"/>
              <w:bottom w:val="nil"/>
              <w:right w:val="nil"/>
            </w:tcBorders>
            <w:shd w:val="clear" w:color="auto" w:fill="auto"/>
            <w:noWrap/>
            <w:vAlign w:val="bottom"/>
            <w:hideMark/>
          </w:tcPr>
          <w:p w:rsidR="00607866" w:rsidRPr="00D81943" w:rsidRDefault="00D81943" w:rsidP="00D81943">
            <w:pPr>
              <w:jc w:val="right"/>
              <w:rPr>
                <w:rFonts w:cs="Arial"/>
                <w:color w:val="000000"/>
                <w:lang w:eastAsia="en-GB"/>
              </w:rPr>
            </w:pPr>
            <w:r w:rsidRPr="00D81943">
              <w:rPr>
                <w:rFonts w:cs="Arial"/>
                <w:color w:val="000000"/>
                <w:lang w:eastAsia="en-GB"/>
              </w:rPr>
              <w:t>(0.834)</w:t>
            </w:r>
          </w:p>
        </w:tc>
        <w:tc>
          <w:tcPr>
            <w:tcW w:w="1660" w:type="dxa"/>
            <w:tcBorders>
              <w:top w:val="nil"/>
              <w:left w:val="nil"/>
              <w:bottom w:val="nil"/>
              <w:right w:val="nil"/>
            </w:tcBorders>
            <w:shd w:val="clear" w:color="auto" w:fill="auto"/>
            <w:noWrap/>
            <w:vAlign w:val="bottom"/>
            <w:hideMark/>
          </w:tcPr>
          <w:p w:rsidR="00607866" w:rsidRPr="00D81943" w:rsidRDefault="00607866" w:rsidP="00951E4F">
            <w:pPr>
              <w:jc w:val="right"/>
              <w:rPr>
                <w:rFonts w:cs="Arial"/>
                <w:color w:val="000000"/>
                <w:lang w:eastAsia="en-GB"/>
              </w:rPr>
            </w:pPr>
            <w:r w:rsidRPr="00D81943">
              <w:rPr>
                <w:rFonts w:cs="Arial"/>
                <w:color w:val="000000"/>
                <w:lang w:eastAsia="en-GB"/>
              </w:rPr>
              <w:t>0.</w:t>
            </w:r>
            <w:r w:rsidR="00951E4F" w:rsidRPr="00D81943">
              <w:rPr>
                <w:rFonts w:cs="Arial"/>
                <w:color w:val="000000"/>
                <w:lang w:eastAsia="en-GB"/>
              </w:rPr>
              <w:t>106</w:t>
            </w:r>
          </w:p>
        </w:tc>
        <w:tc>
          <w:tcPr>
            <w:tcW w:w="1660" w:type="dxa"/>
            <w:tcBorders>
              <w:top w:val="nil"/>
              <w:left w:val="nil"/>
              <w:bottom w:val="nil"/>
              <w:right w:val="nil"/>
            </w:tcBorders>
            <w:shd w:val="clear" w:color="auto" w:fill="auto"/>
            <w:noWrap/>
            <w:vAlign w:val="bottom"/>
            <w:hideMark/>
          </w:tcPr>
          <w:p w:rsidR="00607866" w:rsidRPr="00D81943" w:rsidRDefault="00D81943" w:rsidP="00D81943">
            <w:pPr>
              <w:jc w:val="right"/>
              <w:rPr>
                <w:rFonts w:cs="Arial"/>
                <w:color w:val="000000"/>
                <w:lang w:eastAsia="en-GB"/>
              </w:rPr>
            </w:pPr>
            <w:r w:rsidRPr="00D81943">
              <w:rPr>
                <w:rFonts w:cs="Arial"/>
                <w:color w:val="000000"/>
                <w:lang w:eastAsia="en-GB"/>
              </w:rPr>
              <w:t>(</w:t>
            </w:r>
            <w:r w:rsidR="00951E4F" w:rsidRPr="00D81943">
              <w:rPr>
                <w:rFonts w:cs="Arial"/>
                <w:color w:val="000000"/>
                <w:lang w:eastAsia="en-GB"/>
              </w:rPr>
              <w:t>0</w:t>
            </w:r>
            <w:r w:rsidR="00607866" w:rsidRPr="00D81943">
              <w:rPr>
                <w:rFonts w:cs="Arial"/>
                <w:color w:val="000000"/>
                <w:lang w:eastAsia="en-GB"/>
              </w:rPr>
              <w:t>.</w:t>
            </w:r>
            <w:r w:rsidR="00EA5E94" w:rsidRPr="00D81943">
              <w:rPr>
                <w:rFonts w:cs="Arial"/>
                <w:color w:val="000000"/>
                <w:lang w:eastAsia="en-GB"/>
              </w:rPr>
              <w:t>7</w:t>
            </w:r>
            <w:r w:rsidRPr="00D81943">
              <w:rPr>
                <w:rFonts w:cs="Arial"/>
                <w:color w:val="000000"/>
                <w:lang w:eastAsia="en-GB"/>
              </w:rPr>
              <w:t>28)</w:t>
            </w:r>
          </w:p>
        </w:tc>
      </w:tr>
      <w:tr w:rsidR="00607866" w:rsidRPr="00D81943" w:rsidTr="00951E4F">
        <w:trPr>
          <w:trHeight w:val="300"/>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28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66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66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r>
      <w:tr w:rsidR="00607866" w:rsidRPr="00D81943" w:rsidTr="00951E4F">
        <w:trPr>
          <w:trHeight w:val="300"/>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r w:rsidRPr="00D81943">
              <w:rPr>
                <w:rFonts w:cs="Arial"/>
                <w:color w:val="000000"/>
                <w:lang w:eastAsia="en-GB"/>
              </w:rPr>
              <w:t>HRA</w:t>
            </w:r>
          </w:p>
        </w:tc>
        <w:tc>
          <w:tcPr>
            <w:tcW w:w="1280" w:type="dxa"/>
            <w:tcBorders>
              <w:top w:val="nil"/>
              <w:left w:val="nil"/>
              <w:bottom w:val="nil"/>
              <w:right w:val="nil"/>
            </w:tcBorders>
            <w:shd w:val="clear" w:color="auto" w:fill="auto"/>
            <w:noWrap/>
            <w:vAlign w:val="bottom"/>
            <w:hideMark/>
          </w:tcPr>
          <w:p w:rsidR="00607866" w:rsidRPr="00D81943" w:rsidRDefault="00D81943" w:rsidP="00D81943">
            <w:pPr>
              <w:jc w:val="right"/>
              <w:rPr>
                <w:rFonts w:cs="Arial"/>
                <w:color w:val="000000"/>
                <w:lang w:eastAsia="en-GB"/>
              </w:rPr>
            </w:pPr>
            <w:r w:rsidRPr="00D81943">
              <w:rPr>
                <w:rFonts w:cs="Arial"/>
                <w:color w:val="000000"/>
                <w:lang w:eastAsia="en-GB"/>
              </w:rPr>
              <w:t>(0.170)</w:t>
            </w:r>
          </w:p>
        </w:tc>
        <w:tc>
          <w:tcPr>
            <w:tcW w:w="1660" w:type="dxa"/>
            <w:tcBorders>
              <w:top w:val="nil"/>
              <w:left w:val="nil"/>
              <w:bottom w:val="nil"/>
              <w:right w:val="nil"/>
            </w:tcBorders>
            <w:shd w:val="clear" w:color="auto" w:fill="auto"/>
            <w:noWrap/>
            <w:vAlign w:val="bottom"/>
            <w:hideMark/>
          </w:tcPr>
          <w:p w:rsidR="00607866" w:rsidRPr="00D81943" w:rsidRDefault="00D81943" w:rsidP="00EA5E94">
            <w:pPr>
              <w:jc w:val="right"/>
              <w:rPr>
                <w:rFonts w:cs="Arial"/>
                <w:color w:val="000000"/>
                <w:lang w:eastAsia="en-GB"/>
              </w:rPr>
            </w:pPr>
            <w:r w:rsidRPr="00D81943">
              <w:rPr>
                <w:rFonts w:cs="Arial"/>
                <w:color w:val="000000"/>
                <w:lang w:eastAsia="en-GB"/>
              </w:rPr>
              <w:t>(</w:t>
            </w:r>
            <w:r w:rsidR="00607866" w:rsidRPr="00D81943">
              <w:rPr>
                <w:rFonts w:cs="Arial"/>
                <w:color w:val="000000"/>
                <w:lang w:eastAsia="en-GB"/>
              </w:rPr>
              <w:t>0.</w:t>
            </w:r>
            <w:r w:rsidR="00951E4F" w:rsidRPr="00D81943">
              <w:rPr>
                <w:rFonts w:cs="Arial"/>
                <w:color w:val="000000"/>
                <w:lang w:eastAsia="en-GB"/>
              </w:rPr>
              <w:t>54</w:t>
            </w:r>
            <w:r w:rsidR="00EA5E94" w:rsidRPr="00D81943">
              <w:rPr>
                <w:rFonts w:cs="Arial"/>
                <w:color w:val="000000"/>
                <w:lang w:eastAsia="en-GB"/>
              </w:rPr>
              <w:t>5</w:t>
            </w:r>
            <w:r w:rsidRPr="00D81943">
              <w:rPr>
                <w:rFonts w:cs="Arial"/>
                <w:color w:val="000000"/>
                <w:lang w:eastAsia="en-GB"/>
              </w:rPr>
              <w:t>)</w:t>
            </w:r>
          </w:p>
        </w:tc>
        <w:tc>
          <w:tcPr>
            <w:tcW w:w="1660" w:type="dxa"/>
            <w:tcBorders>
              <w:top w:val="nil"/>
              <w:left w:val="nil"/>
              <w:bottom w:val="nil"/>
              <w:right w:val="nil"/>
            </w:tcBorders>
            <w:shd w:val="clear" w:color="auto" w:fill="auto"/>
            <w:noWrap/>
            <w:vAlign w:val="bottom"/>
            <w:hideMark/>
          </w:tcPr>
          <w:p w:rsidR="00607866" w:rsidRPr="00D81943" w:rsidRDefault="00D81943" w:rsidP="00D81943">
            <w:pPr>
              <w:jc w:val="right"/>
              <w:rPr>
                <w:rFonts w:cs="Arial"/>
                <w:color w:val="000000"/>
                <w:lang w:eastAsia="en-GB"/>
              </w:rPr>
            </w:pPr>
            <w:r w:rsidRPr="00D81943">
              <w:rPr>
                <w:rFonts w:cs="Arial"/>
                <w:color w:val="000000"/>
                <w:lang w:eastAsia="en-GB"/>
              </w:rPr>
              <w:t>(</w:t>
            </w:r>
            <w:r w:rsidR="00951E4F" w:rsidRPr="00D81943">
              <w:rPr>
                <w:rFonts w:cs="Arial"/>
                <w:color w:val="000000"/>
                <w:lang w:eastAsia="en-GB"/>
              </w:rPr>
              <w:t>0.</w:t>
            </w:r>
            <w:r w:rsidRPr="00D81943">
              <w:rPr>
                <w:rFonts w:cs="Arial"/>
                <w:color w:val="000000"/>
                <w:lang w:eastAsia="en-GB"/>
              </w:rPr>
              <w:t>715)</w:t>
            </w:r>
          </w:p>
        </w:tc>
      </w:tr>
      <w:tr w:rsidR="00607866" w:rsidRPr="00D81943" w:rsidTr="00951E4F">
        <w:trPr>
          <w:trHeight w:val="300"/>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28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66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c>
          <w:tcPr>
            <w:tcW w:w="166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p>
        </w:tc>
      </w:tr>
      <w:tr w:rsidR="00607866" w:rsidRPr="00607866" w:rsidTr="00951E4F">
        <w:trPr>
          <w:trHeight w:val="315"/>
        </w:trPr>
        <w:tc>
          <w:tcPr>
            <w:tcW w:w="1940" w:type="dxa"/>
            <w:tcBorders>
              <w:top w:val="nil"/>
              <w:left w:val="nil"/>
              <w:bottom w:val="nil"/>
              <w:right w:val="nil"/>
            </w:tcBorders>
            <w:shd w:val="clear" w:color="auto" w:fill="auto"/>
            <w:noWrap/>
            <w:vAlign w:val="bottom"/>
            <w:hideMark/>
          </w:tcPr>
          <w:p w:rsidR="00607866" w:rsidRPr="00D81943" w:rsidRDefault="00607866" w:rsidP="00607866">
            <w:pPr>
              <w:rPr>
                <w:rFonts w:cs="Arial"/>
                <w:color w:val="000000"/>
                <w:lang w:eastAsia="en-GB"/>
              </w:rPr>
            </w:pPr>
            <w:r w:rsidRPr="00D81943">
              <w:rPr>
                <w:rFonts w:cs="Arial"/>
                <w:color w:val="000000"/>
                <w:lang w:eastAsia="en-GB"/>
              </w:rPr>
              <w:t>Total</w:t>
            </w:r>
          </w:p>
        </w:tc>
        <w:tc>
          <w:tcPr>
            <w:tcW w:w="1280" w:type="dxa"/>
            <w:tcBorders>
              <w:top w:val="single" w:sz="4" w:space="0" w:color="auto"/>
              <w:left w:val="nil"/>
              <w:bottom w:val="double" w:sz="6" w:space="0" w:color="auto"/>
              <w:right w:val="nil"/>
            </w:tcBorders>
            <w:shd w:val="clear" w:color="auto" w:fill="auto"/>
            <w:noWrap/>
            <w:vAlign w:val="bottom"/>
            <w:hideMark/>
          </w:tcPr>
          <w:p w:rsidR="00607866" w:rsidRPr="00D81943" w:rsidRDefault="00D81943" w:rsidP="00D81943">
            <w:pPr>
              <w:jc w:val="right"/>
              <w:rPr>
                <w:rFonts w:cs="Arial"/>
                <w:color w:val="000000"/>
                <w:lang w:eastAsia="en-GB"/>
              </w:rPr>
            </w:pPr>
            <w:r w:rsidRPr="00D81943">
              <w:rPr>
                <w:rFonts w:cs="Arial"/>
                <w:color w:val="000000"/>
                <w:lang w:eastAsia="en-GB"/>
              </w:rPr>
              <w:t>(</w:t>
            </w:r>
            <w:r w:rsidR="00607866" w:rsidRPr="00D81943">
              <w:rPr>
                <w:rFonts w:cs="Arial"/>
                <w:color w:val="000000"/>
                <w:lang w:eastAsia="en-GB"/>
              </w:rPr>
              <w:t>1.</w:t>
            </w:r>
            <w:r w:rsidR="00951E4F" w:rsidRPr="00D81943">
              <w:rPr>
                <w:rFonts w:cs="Arial"/>
                <w:color w:val="000000"/>
                <w:lang w:eastAsia="en-GB"/>
              </w:rPr>
              <w:t>00</w:t>
            </w:r>
            <w:r w:rsidRPr="00D81943">
              <w:rPr>
                <w:rFonts w:cs="Arial"/>
                <w:color w:val="000000"/>
                <w:lang w:eastAsia="en-GB"/>
              </w:rPr>
              <w:t>4)</w:t>
            </w:r>
          </w:p>
        </w:tc>
        <w:tc>
          <w:tcPr>
            <w:tcW w:w="1660" w:type="dxa"/>
            <w:tcBorders>
              <w:top w:val="single" w:sz="4" w:space="0" w:color="auto"/>
              <w:left w:val="nil"/>
              <w:bottom w:val="double" w:sz="6" w:space="0" w:color="auto"/>
              <w:right w:val="nil"/>
            </w:tcBorders>
            <w:shd w:val="clear" w:color="auto" w:fill="auto"/>
            <w:noWrap/>
            <w:vAlign w:val="bottom"/>
            <w:hideMark/>
          </w:tcPr>
          <w:p w:rsidR="00607866" w:rsidRPr="00D81943" w:rsidRDefault="00D81943" w:rsidP="00D81943">
            <w:pPr>
              <w:jc w:val="right"/>
              <w:rPr>
                <w:rFonts w:cs="Arial"/>
                <w:color w:val="000000"/>
                <w:lang w:eastAsia="en-GB"/>
              </w:rPr>
            </w:pPr>
            <w:r w:rsidRPr="00D81943">
              <w:rPr>
                <w:rFonts w:cs="Arial"/>
                <w:color w:val="000000"/>
                <w:lang w:eastAsia="en-GB"/>
              </w:rPr>
              <w:t>(</w:t>
            </w:r>
            <w:r w:rsidR="00607866" w:rsidRPr="00D81943">
              <w:rPr>
                <w:rFonts w:cs="Arial"/>
                <w:color w:val="000000"/>
                <w:lang w:eastAsia="en-GB"/>
              </w:rPr>
              <w:t>0.</w:t>
            </w:r>
            <w:r w:rsidR="00951E4F" w:rsidRPr="00D81943">
              <w:rPr>
                <w:rFonts w:cs="Arial"/>
                <w:color w:val="000000"/>
                <w:lang w:eastAsia="en-GB"/>
              </w:rPr>
              <w:t>439</w:t>
            </w:r>
            <w:r w:rsidRPr="00D81943">
              <w:rPr>
                <w:rFonts w:cs="Arial"/>
                <w:color w:val="000000"/>
                <w:lang w:eastAsia="en-GB"/>
              </w:rPr>
              <w:t>)</w:t>
            </w:r>
          </w:p>
        </w:tc>
        <w:tc>
          <w:tcPr>
            <w:tcW w:w="1660" w:type="dxa"/>
            <w:tcBorders>
              <w:top w:val="single" w:sz="4" w:space="0" w:color="auto"/>
              <w:left w:val="nil"/>
              <w:bottom w:val="double" w:sz="6" w:space="0" w:color="auto"/>
              <w:right w:val="nil"/>
            </w:tcBorders>
            <w:shd w:val="clear" w:color="auto" w:fill="auto"/>
            <w:noWrap/>
            <w:vAlign w:val="bottom"/>
            <w:hideMark/>
          </w:tcPr>
          <w:p w:rsidR="00607866" w:rsidRPr="00607866" w:rsidRDefault="00D81943" w:rsidP="00D81943">
            <w:pPr>
              <w:jc w:val="right"/>
              <w:rPr>
                <w:rFonts w:cs="Arial"/>
                <w:color w:val="000000"/>
                <w:lang w:eastAsia="en-GB"/>
              </w:rPr>
            </w:pPr>
            <w:r w:rsidRPr="00D81943">
              <w:rPr>
                <w:rFonts w:cs="Arial"/>
                <w:color w:val="000000"/>
                <w:lang w:eastAsia="en-GB"/>
              </w:rPr>
              <w:t>(</w:t>
            </w:r>
            <w:r w:rsidR="00607866" w:rsidRPr="00D81943">
              <w:rPr>
                <w:rFonts w:cs="Arial"/>
                <w:color w:val="000000"/>
                <w:lang w:eastAsia="en-GB"/>
              </w:rPr>
              <w:t>1.</w:t>
            </w:r>
            <w:r w:rsidR="00EA5E94" w:rsidRPr="00D81943">
              <w:rPr>
                <w:rFonts w:cs="Arial"/>
                <w:color w:val="000000"/>
                <w:lang w:eastAsia="en-GB"/>
              </w:rPr>
              <w:t>44</w:t>
            </w:r>
            <w:r w:rsidRPr="00D81943">
              <w:rPr>
                <w:rFonts w:cs="Arial"/>
                <w:color w:val="000000"/>
                <w:lang w:eastAsia="en-GB"/>
              </w:rPr>
              <w:t>3)</w:t>
            </w:r>
          </w:p>
        </w:tc>
      </w:tr>
    </w:tbl>
    <w:p w:rsidR="00607866" w:rsidRDefault="00607866" w:rsidP="00607866">
      <w:pPr>
        <w:rPr>
          <w:rFonts w:cs="Arial"/>
        </w:rPr>
      </w:pPr>
    </w:p>
    <w:p w:rsidR="004D79A4" w:rsidRDefault="00A378F0" w:rsidP="004B6423">
      <w:pPr>
        <w:ind w:left="360"/>
        <w:rPr>
          <w:rFonts w:cs="Arial"/>
        </w:rPr>
      </w:pPr>
      <w:r>
        <w:rPr>
          <w:rFonts w:cs="Arial"/>
        </w:rPr>
        <w:t xml:space="preserve">The main areas of </w:t>
      </w:r>
      <w:r w:rsidR="006B467F">
        <w:rPr>
          <w:rFonts w:cs="Arial"/>
        </w:rPr>
        <w:t xml:space="preserve">variation </w:t>
      </w:r>
      <w:r>
        <w:rPr>
          <w:rFonts w:cs="Arial"/>
        </w:rPr>
        <w:t>are: -</w:t>
      </w:r>
    </w:p>
    <w:p w:rsidR="00A378F0" w:rsidRPr="00A378F0" w:rsidRDefault="00A378F0" w:rsidP="00A378F0">
      <w:pPr>
        <w:pStyle w:val="ListParagraph"/>
        <w:numPr>
          <w:ilvl w:val="0"/>
          <w:numId w:val="13"/>
        </w:numPr>
        <w:rPr>
          <w:rFonts w:cs="Arial"/>
          <w:bCs/>
        </w:rPr>
      </w:pPr>
      <w:r w:rsidRPr="00A378F0">
        <w:rPr>
          <w:rFonts w:cs="Arial"/>
          <w:bCs/>
        </w:rPr>
        <w:t>£0.</w:t>
      </w:r>
      <w:r w:rsidR="00FD0777" w:rsidRPr="00A378F0">
        <w:rPr>
          <w:rFonts w:cs="Arial"/>
          <w:bCs/>
        </w:rPr>
        <w:t>3</w:t>
      </w:r>
      <w:r w:rsidR="00FD0777">
        <w:rPr>
          <w:rFonts w:cs="Arial"/>
          <w:bCs/>
        </w:rPr>
        <w:t>23</w:t>
      </w:r>
      <w:r w:rsidR="00FD0777" w:rsidRPr="00A378F0">
        <w:rPr>
          <w:rFonts w:cs="Arial"/>
          <w:bCs/>
        </w:rPr>
        <w:t xml:space="preserve"> </w:t>
      </w:r>
      <w:r w:rsidRPr="00A378F0">
        <w:rPr>
          <w:rFonts w:cs="Arial"/>
          <w:bCs/>
        </w:rPr>
        <w:t>million on Council Properties</w:t>
      </w:r>
    </w:p>
    <w:p w:rsidR="00A378F0" w:rsidRPr="00A378F0" w:rsidRDefault="00A378F0" w:rsidP="00A378F0">
      <w:pPr>
        <w:pStyle w:val="ListParagraph"/>
        <w:numPr>
          <w:ilvl w:val="0"/>
          <w:numId w:val="13"/>
        </w:numPr>
        <w:rPr>
          <w:rFonts w:cs="Arial"/>
          <w:bCs/>
        </w:rPr>
      </w:pPr>
      <w:r w:rsidRPr="00A378F0">
        <w:rPr>
          <w:rFonts w:cs="Arial"/>
          <w:bCs/>
        </w:rPr>
        <w:t>£0.</w:t>
      </w:r>
      <w:r w:rsidR="00FD0777">
        <w:rPr>
          <w:rFonts w:cs="Arial"/>
          <w:bCs/>
        </w:rPr>
        <w:t>096</w:t>
      </w:r>
      <w:r w:rsidR="00FD0777" w:rsidRPr="00A378F0">
        <w:rPr>
          <w:rFonts w:cs="Arial"/>
          <w:bCs/>
        </w:rPr>
        <w:t xml:space="preserve"> </w:t>
      </w:r>
      <w:r w:rsidRPr="00A378F0">
        <w:rPr>
          <w:rFonts w:cs="Arial"/>
          <w:bCs/>
        </w:rPr>
        <w:t>million on Leisure &amp; communities schemes</w:t>
      </w:r>
    </w:p>
    <w:p w:rsidR="00A378F0" w:rsidRPr="00A378F0" w:rsidRDefault="00A378F0" w:rsidP="00A378F0">
      <w:pPr>
        <w:pStyle w:val="ListParagraph"/>
        <w:numPr>
          <w:ilvl w:val="0"/>
          <w:numId w:val="13"/>
        </w:numPr>
        <w:rPr>
          <w:rFonts w:cs="Arial"/>
          <w:bCs/>
        </w:rPr>
      </w:pPr>
      <w:r w:rsidRPr="00A378F0">
        <w:rPr>
          <w:rFonts w:cs="Arial"/>
          <w:bCs/>
        </w:rPr>
        <w:t>£0.183 million on ICT schemes</w:t>
      </w:r>
    </w:p>
    <w:p w:rsidR="00A378F0" w:rsidRPr="00A378F0" w:rsidRDefault="00A378F0" w:rsidP="00A378F0">
      <w:pPr>
        <w:pStyle w:val="ListParagraph"/>
        <w:numPr>
          <w:ilvl w:val="0"/>
          <w:numId w:val="13"/>
        </w:numPr>
        <w:rPr>
          <w:rFonts w:cs="Arial"/>
          <w:bCs/>
        </w:rPr>
      </w:pPr>
      <w:r w:rsidRPr="00A378F0">
        <w:rPr>
          <w:rFonts w:cs="Arial"/>
          <w:bCs/>
        </w:rPr>
        <w:t>£0.</w:t>
      </w:r>
      <w:r w:rsidR="00FD0777" w:rsidRPr="00A378F0">
        <w:rPr>
          <w:rFonts w:cs="Arial"/>
          <w:bCs/>
        </w:rPr>
        <w:t>29</w:t>
      </w:r>
      <w:r w:rsidR="00FD0777">
        <w:rPr>
          <w:rFonts w:cs="Arial"/>
          <w:bCs/>
        </w:rPr>
        <w:t>3</w:t>
      </w:r>
      <w:r w:rsidR="00FD0777" w:rsidRPr="00A378F0">
        <w:rPr>
          <w:rFonts w:cs="Arial"/>
          <w:bCs/>
        </w:rPr>
        <w:t xml:space="preserve"> </w:t>
      </w:r>
      <w:r w:rsidRPr="00A378F0">
        <w:rPr>
          <w:rFonts w:cs="Arial"/>
          <w:bCs/>
        </w:rPr>
        <w:t>million on various car parking schemes</w:t>
      </w:r>
    </w:p>
    <w:p w:rsidR="00A378F0" w:rsidRPr="00FD0777" w:rsidRDefault="00A378F0" w:rsidP="00A378F0">
      <w:pPr>
        <w:pStyle w:val="ListParagraph"/>
        <w:numPr>
          <w:ilvl w:val="0"/>
          <w:numId w:val="13"/>
        </w:numPr>
        <w:rPr>
          <w:rFonts w:cs="Arial"/>
        </w:rPr>
      </w:pPr>
      <w:r w:rsidRPr="00A378F0">
        <w:rPr>
          <w:rFonts w:cs="Arial"/>
          <w:bCs/>
        </w:rPr>
        <w:t>£0.165 million on Kitchens and Bathrooms</w:t>
      </w:r>
    </w:p>
    <w:p w:rsidR="00FD0777" w:rsidRPr="00D21BC1" w:rsidRDefault="00FD0777" w:rsidP="00A378F0">
      <w:pPr>
        <w:pStyle w:val="ListParagraph"/>
        <w:numPr>
          <w:ilvl w:val="0"/>
          <w:numId w:val="13"/>
        </w:numPr>
        <w:rPr>
          <w:rFonts w:cs="Arial"/>
        </w:rPr>
      </w:pPr>
      <w:r>
        <w:rPr>
          <w:rFonts w:cs="Arial"/>
          <w:bCs/>
        </w:rPr>
        <w:t>£0.319 million on Major Voids</w:t>
      </w:r>
    </w:p>
    <w:p w:rsidR="00D21BC1" w:rsidRPr="004B6423" w:rsidRDefault="00D21BC1" w:rsidP="00A378F0">
      <w:pPr>
        <w:pStyle w:val="ListParagraph"/>
        <w:numPr>
          <w:ilvl w:val="0"/>
          <w:numId w:val="13"/>
        </w:numPr>
        <w:rPr>
          <w:rFonts w:cs="Arial"/>
        </w:rPr>
      </w:pPr>
      <w:r>
        <w:rPr>
          <w:rFonts w:cs="Arial"/>
          <w:bCs/>
        </w:rPr>
        <w:t>£0.125 million on Great Estates</w:t>
      </w:r>
    </w:p>
    <w:p w:rsidR="004B6423" w:rsidRPr="00A378F0" w:rsidRDefault="004B6423" w:rsidP="004B6423">
      <w:pPr>
        <w:pStyle w:val="ListParagraph"/>
        <w:ind w:left="426"/>
        <w:rPr>
          <w:rFonts w:cs="Arial"/>
        </w:rPr>
      </w:pPr>
    </w:p>
    <w:p w:rsidR="004B6423" w:rsidRDefault="004B6423" w:rsidP="004B6423">
      <w:pPr>
        <w:rPr>
          <w:rFonts w:cs="Arial"/>
          <w:b/>
        </w:rPr>
      </w:pPr>
      <w:r w:rsidRPr="00D24733">
        <w:rPr>
          <w:rFonts w:cs="Arial"/>
          <w:b/>
        </w:rPr>
        <w:t>Financial Implications</w:t>
      </w:r>
    </w:p>
    <w:p w:rsidR="008A5685" w:rsidRDefault="008A5685" w:rsidP="008A5685">
      <w:pPr>
        <w:rPr>
          <w:rFonts w:cs="Arial"/>
        </w:rPr>
      </w:pPr>
    </w:p>
    <w:p w:rsidR="004B6423" w:rsidRPr="008A5685" w:rsidRDefault="008A5685" w:rsidP="008A5685">
      <w:pPr>
        <w:ind w:left="426" w:hanging="426"/>
        <w:rPr>
          <w:rFonts w:cs="Arial"/>
        </w:rPr>
      </w:pPr>
      <w:r>
        <w:rPr>
          <w:rFonts w:cs="Arial"/>
        </w:rPr>
        <w:t>2</w:t>
      </w:r>
      <w:r w:rsidR="00D21BC1">
        <w:rPr>
          <w:rFonts w:cs="Arial"/>
        </w:rPr>
        <w:t>2</w:t>
      </w:r>
      <w:r>
        <w:rPr>
          <w:rFonts w:cs="Arial"/>
        </w:rPr>
        <w:tab/>
      </w:r>
      <w:r w:rsidR="004B6423" w:rsidRPr="008A5685">
        <w:rPr>
          <w:rFonts w:cs="Arial"/>
        </w:rPr>
        <w:t>The Council’s finances continue to be robust as reported by the Head of Financ</w:t>
      </w:r>
      <w:r w:rsidR="00DE2640" w:rsidRPr="008A5685">
        <w:rPr>
          <w:rFonts w:cs="Arial"/>
        </w:rPr>
        <w:t>ial Services</w:t>
      </w:r>
      <w:r w:rsidR="004B6423" w:rsidRPr="008A5685">
        <w:rPr>
          <w:rFonts w:cs="Arial"/>
        </w:rPr>
        <w:t xml:space="preserve"> in the budget report</w:t>
      </w:r>
      <w:r w:rsidR="000D1F17">
        <w:rPr>
          <w:rFonts w:cs="Arial"/>
        </w:rPr>
        <w:t>.  H</w:t>
      </w:r>
      <w:r w:rsidR="004B6423" w:rsidRPr="008A5685">
        <w:rPr>
          <w:rFonts w:cs="Arial"/>
        </w:rPr>
        <w:t xml:space="preserve">owever there are continuing pressures over the medium to long term </w:t>
      </w:r>
      <w:r w:rsidR="00F973D6">
        <w:rPr>
          <w:rFonts w:cs="Arial"/>
        </w:rPr>
        <w:t>including</w:t>
      </w:r>
      <w:r w:rsidR="004B6423" w:rsidRPr="008A5685">
        <w:rPr>
          <w:rFonts w:cs="Arial"/>
        </w:rPr>
        <w:t xml:space="preserve"> additional savings </w:t>
      </w:r>
      <w:r w:rsidR="00F973D6">
        <w:rPr>
          <w:rFonts w:cs="Arial"/>
        </w:rPr>
        <w:t xml:space="preserve">of </w:t>
      </w:r>
      <w:r w:rsidR="00DE2640" w:rsidRPr="008A5685">
        <w:rPr>
          <w:rFonts w:cs="Arial"/>
        </w:rPr>
        <w:t xml:space="preserve">around £3 billion </w:t>
      </w:r>
      <w:r w:rsidR="004B6423" w:rsidRPr="008A5685">
        <w:rPr>
          <w:rFonts w:cs="Arial"/>
        </w:rPr>
        <w:t>from the public sector</w:t>
      </w:r>
      <w:r w:rsidR="00DE2640" w:rsidRPr="008A5685">
        <w:rPr>
          <w:rFonts w:cs="Arial"/>
        </w:rPr>
        <w:t xml:space="preserve">, details of which will be announced in the </w:t>
      </w:r>
      <w:r w:rsidRPr="008A5685">
        <w:rPr>
          <w:rFonts w:cs="Arial"/>
        </w:rPr>
        <w:t>Governments</w:t>
      </w:r>
      <w:r w:rsidR="00DE2640" w:rsidRPr="008A5685">
        <w:rPr>
          <w:rFonts w:cs="Arial"/>
        </w:rPr>
        <w:t xml:space="preserve"> Emergency Budget o</w:t>
      </w:r>
      <w:r w:rsidR="00F973D6">
        <w:rPr>
          <w:rFonts w:cs="Arial"/>
        </w:rPr>
        <w:t>n</w:t>
      </w:r>
      <w:r w:rsidR="00DE2640" w:rsidRPr="008A5685">
        <w:rPr>
          <w:rFonts w:cs="Arial"/>
        </w:rPr>
        <w:t xml:space="preserve"> </w:t>
      </w:r>
      <w:r w:rsidR="00F973D6">
        <w:rPr>
          <w:rFonts w:cs="Arial"/>
        </w:rPr>
        <w:t xml:space="preserve">the </w:t>
      </w:r>
      <w:r w:rsidR="00DE2640" w:rsidRPr="008A5685">
        <w:rPr>
          <w:rFonts w:cs="Arial"/>
        </w:rPr>
        <w:t>8</w:t>
      </w:r>
      <w:r w:rsidR="00DE2640" w:rsidRPr="008A5685">
        <w:rPr>
          <w:rFonts w:cs="Arial"/>
          <w:vertAlign w:val="superscript"/>
        </w:rPr>
        <w:t>th</w:t>
      </w:r>
      <w:r w:rsidR="00DE2640" w:rsidRPr="008A5685">
        <w:rPr>
          <w:rFonts w:cs="Arial"/>
        </w:rPr>
        <w:t xml:space="preserve"> July 2015</w:t>
      </w:r>
      <w:r w:rsidRPr="008A5685">
        <w:rPr>
          <w:rFonts w:cs="Arial"/>
        </w:rPr>
        <w:t>.</w:t>
      </w:r>
      <w:r w:rsidR="004B6423" w:rsidRPr="008A5685">
        <w:rPr>
          <w:rFonts w:cs="Arial"/>
        </w:rPr>
        <w:t xml:space="preserve"> </w:t>
      </w:r>
      <w:r w:rsidR="000D1F17">
        <w:rPr>
          <w:rFonts w:cs="Arial"/>
        </w:rPr>
        <w:t xml:space="preserve">This has the potential to impose very major financial pressures on the Council, both directly, in terms of government funding, and indirectly, as the consequence of decisions taken by central government and the County Council, putting additional pressure on services.  </w:t>
      </w:r>
      <w:r w:rsidRPr="008A5685">
        <w:rPr>
          <w:rFonts w:cs="Arial"/>
        </w:rPr>
        <w:t xml:space="preserve">Whilst the </w:t>
      </w:r>
      <w:r w:rsidR="004B6423" w:rsidRPr="008A5685">
        <w:rPr>
          <w:rFonts w:cs="Arial"/>
        </w:rPr>
        <w:t xml:space="preserve">General Fund </w:t>
      </w:r>
      <w:r w:rsidRPr="008A5685">
        <w:rPr>
          <w:rFonts w:cs="Arial"/>
        </w:rPr>
        <w:t xml:space="preserve">Medium Term Plan </w:t>
      </w:r>
      <w:r w:rsidR="004B6423" w:rsidRPr="008A5685">
        <w:rPr>
          <w:rFonts w:cs="Arial"/>
        </w:rPr>
        <w:t xml:space="preserve">is currently balanced to 2018/19, </w:t>
      </w:r>
      <w:r w:rsidRPr="008A5685">
        <w:rPr>
          <w:rFonts w:cs="Arial"/>
        </w:rPr>
        <w:t>this is no time for complacency</w:t>
      </w:r>
      <w:r w:rsidR="00FD0777">
        <w:rPr>
          <w:rFonts w:cs="Arial"/>
        </w:rPr>
        <w:t>;</w:t>
      </w:r>
      <w:r w:rsidRPr="008A5685">
        <w:rPr>
          <w:rFonts w:cs="Arial"/>
        </w:rPr>
        <w:t xml:space="preserve"> </w:t>
      </w:r>
      <w:r w:rsidR="00F973D6">
        <w:rPr>
          <w:rFonts w:cs="Arial"/>
        </w:rPr>
        <w:t xml:space="preserve">there is </w:t>
      </w:r>
      <w:r>
        <w:rPr>
          <w:rFonts w:cs="Arial"/>
        </w:rPr>
        <w:t xml:space="preserve">a significant increase in </w:t>
      </w:r>
      <w:r w:rsidR="004B6423" w:rsidRPr="008A5685">
        <w:rPr>
          <w:rFonts w:cs="Arial"/>
        </w:rPr>
        <w:t>backdated</w:t>
      </w:r>
      <w:r>
        <w:rPr>
          <w:rFonts w:cs="Arial"/>
        </w:rPr>
        <w:t xml:space="preserve"> business rate </w:t>
      </w:r>
      <w:r w:rsidR="004B6423" w:rsidRPr="008A5685">
        <w:rPr>
          <w:rFonts w:cs="Arial"/>
        </w:rPr>
        <w:t xml:space="preserve">appeals </w:t>
      </w:r>
      <w:r>
        <w:rPr>
          <w:rFonts w:cs="Arial"/>
        </w:rPr>
        <w:t xml:space="preserve">which has </w:t>
      </w:r>
      <w:r w:rsidR="004B6423" w:rsidRPr="008A5685">
        <w:rPr>
          <w:rFonts w:cs="Arial"/>
        </w:rPr>
        <w:t xml:space="preserve">pushed the Council into a safety net position in 2014/15 </w:t>
      </w:r>
      <w:r>
        <w:rPr>
          <w:rFonts w:cs="Arial"/>
        </w:rPr>
        <w:t xml:space="preserve">and may have a significant effect on the </w:t>
      </w:r>
      <w:r w:rsidR="00544648">
        <w:rPr>
          <w:rFonts w:cs="Arial"/>
        </w:rPr>
        <w:t>C</w:t>
      </w:r>
      <w:r>
        <w:rPr>
          <w:rFonts w:cs="Arial"/>
        </w:rPr>
        <w:t>ouncil</w:t>
      </w:r>
      <w:r w:rsidR="00544648">
        <w:rPr>
          <w:rFonts w:cs="Arial"/>
        </w:rPr>
        <w:t>’</w:t>
      </w:r>
      <w:r>
        <w:rPr>
          <w:rFonts w:cs="Arial"/>
        </w:rPr>
        <w:t xml:space="preserve">s business rates income in future years. </w:t>
      </w:r>
      <w:r w:rsidR="00BA646B">
        <w:rPr>
          <w:rFonts w:cs="Arial"/>
        </w:rPr>
        <w:t xml:space="preserve"> There will be budget pressures </w:t>
      </w:r>
      <w:r w:rsidR="000D1F17">
        <w:rPr>
          <w:rFonts w:cs="Arial"/>
        </w:rPr>
        <w:t xml:space="preserve">related to recycling </w:t>
      </w:r>
      <w:r w:rsidR="00BA646B">
        <w:rPr>
          <w:rFonts w:cs="Arial"/>
        </w:rPr>
        <w:t>in 2015/16, currently estimated at £0.45 million</w:t>
      </w:r>
      <w:r w:rsidR="000D1F17">
        <w:rPr>
          <w:rFonts w:cs="Arial"/>
        </w:rPr>
        <w:t xml:space="preserve"> for this year alone</w:t>
      </w:r>
      <w:r w:rsidR="00390B9B">
        <w:rPr>
          <w:rFonts w:cs="Arial"/>
        </w:rPr>
        <w:t xml:space="preserve">; in the longer term the Council will seek to </w:t>
      </w:r>
      <w:proofErr w:type="gramStart"/>
      <w:r w:rsidR="00390B9B">
        <w:rPr>
          <w:rFonts w:cs="Arial"/>
        </w:rPr>
        <w:t>mitigate</w:t>
      </w:r>
      <w:proofErr w:type="gramEnd"/>
      <w:r w:rsidR="00390B9B">
        <w:rPr>
          <w:rFonts w:cs="Arial"/>
        </w:rPr>
        <w:t xml:space="preserve"> against these costs by developing a longer term solution, potentially by building a dry </w:t>
      </w:r>
      <w:proofErr w:type="spellStart"/>
      <w:r w:rsidR="00390B9B">
        <w:rPr>
          <w:rFonts w:cs="Arial"/>
        </w:rPr>
        <w:t>recyclate</w:t>
      </w:r>
      <w:proofErr w:type="spellEnd"/>
      <w:r w:rsidR="00390B9B">
        <w:rPr>
          <w:rFonts w:cs="Arial"/>
        </w:rPr>
        <w:t xml:space="preserve"> facility</w:t>
      </w:r>
      <w:r w:rsidR="000D1F17">
        <w:rPr>
          <w:rFonts w:cs="Arial"/>
        </w:rPr>
        <w:t>.  H</w:t>
      </w:r>
      <w:r w:rsidR="00390B9B">
        <w:rPr>
          <w:rFonts w:cs="Arial"/>
        </w:rPr>
        <w:t>owever the shorter term pressures remain.</w:t>
      </w:r>
    </w:p>
    <w:p w:rsidR="004B6423" w:rsidRDefault="004B6423" w:rsidP="004B6423">
      <w:pPr>
        <w:ind w:left="426"/>
        <w:rPr>
          <w:rFonts w:cs="Arial"/>
        </w:rPr>
      </w:pPr>
    </w:p>
    <w:p w:rsidR="004B6423" w:rsidRPr="00D21BC1" w:rsidRDefault="00D21BC1" w:rsidP="00D21BC1">
      <w:pPr>
        <w:ind w:left="360" w:hanging="360"/>
        <w:rPr>
          <w:rFonts w:cs="Arial"/>
        </w:rPr>
      </w:pPr>
      <w:r w:rsidRPr="00D21BC1">
        <w:rPr>
          <w:rFonts w:cs="Arial"/>
        </w:rPr>
        <w:lastRenderedPageBreak/>
        <w:t>23</w:t>
      </w:r>
      <w:r w:rsidRPr="00D21BC1">
        <w:rPr>
          <w:rFonts w:cs="Arial"/>
        </w:rPr>
        <w:tab/>
      </w:r>
      <w:r w:rsidR="008A5685" w:rsidRPr="00D21BC1">
        <w:rPr>
          <w:rFonts w:cs="Arial"/>
        </w:rPr>
        <w:t xml:space="preserve"> </w:t>
      </w:r>
      <w:r w:rsidR="004B6423" w:rsidRPr="00D21BC1">
        <w:rPr>
          <w:rFonts w:cs="Arial"/>
        </w:rPr>
        <w:t>During the budget process for 2015/16 budget setting, additional schemes were put in place in the HRA which utilised all HRA business plan forecast balances over the next ten years.  That balanced position is already being put under pressure:</w:t>
      </w:r>
    </w:p>
    <w:p w:rsidR="004B6423" w:rsidRDefault="004B6423" w:rsidP="004B6423">
      <w:pPr>
        <w:pStyle w:val="ListParagraph"/>
        <w:numPr>
          <w:ilvl w:val="0"/>
          <w:numId w:val="16"/>
        </w:numPr>
        <w:rPr>
          <w:rFonts w:cs="Arial"/>
        </w:rPr>
      </w:pPr>
      <w:r>
        <w:rPr>
          <w:rFonts w:cs="Arial"/>
        </w:rPr>
        <w:t>The Tower block contract is costing more than the original budget.  The financing of this is reliant on setting aside resources from the outturn for 2014/15 into earmarked reserves;</w:t>
      </w:r>
    </w:p>
    <w:p w:rsidR="004B6423" w:rsidRDefault="00544648" w:rsidP="004B6423">
      <w:pPr>
        <w:pStyle w:val="ListParagraph"/>
        <w:numPr>
          <w:ilvl w:val="0"/>
          <w:numId w:val="16"/>
        </w:numPr>
        <w:rPr>
          <w:rFonts w:cs="Arial"/>
        </w:rPr>
      </w:pPr>
      <w:r>
        <w:rPr>
          <w:rFonts w:cs="Arial"/>
        </w:rPr>
        <w:t xml:space="preserve">The Government’s proposal </w:t>
      </w:r>
      <w:r w:rsidR="004B6423">
        <w:rPr>
          <w:rFonts w:cs="Arial"/>
        </w:rPr>
        <w:t xml:space="preserve">to introduce Right to Buy to Housing Associations is linked to Councils </w:t>
      </w:r>
      <w:r>
        <w:rPr>
          <w:rFonts w:cs="Arial"/>
        </w:rPr>
        <w:t xml:space="preserve">being required to </w:t>
      </w:r>
      <w:r w:rsidR="004B6423">
        <w:rPr>
          <w:rFonts w:cs="Arial"/>
        </w:rPr>
        <w:t xml:space="preserve">sell off their most expensive stock when it becomes vacant.  The </w:t>
      </w:r>
      <w:r w:rsidR="005359EF">
        <w:rPr>
          <w:rFonts w:cs="Arial"/>
        </w:rPr>
        <w:t xml:space="preserve">exact detail </w:t>
      </w:r>
      <w:r w:rsidR="004B6423">
        <w:rPr>
          <w:rFonts w:cs="Arial"/>
        </w:rPr>
        <w:t xml:space="preserve">will not be fully known until the draft legislation is </w:t>
      </w:r>
      <w:proofErr w:type="gramStart"/>
      <w:r w:rsidR="004B6423">
        <w:rPr>
          <w:rFonts w:cs="Arial"/>
        </w:rPr>
        <w:t>published,</w:t>
      </w:r>
      <w:proofErr w:type="gramEnd"/>
      <w:r w:rsidR="004B6423">
        <w:rPr>
          <w:rFonts w:cs="Arial"/>
        </w:rPr>
        <w:t xml:space="preserve"> ho</w:t>
      </w:r>
      <w:r w:rsidR="005359EF">
        <w:rPr>
          <w:rFonts w:cs="Arial"/>
        </w:rPr>
        <w:t>w</w:t>
      </w:r>
      <w:r w:rsidR="004B6423">
        <w:rPr>
          <w:rFonts w:cs="Arial"/>
        </w:rPr>
        <w:t>e</w:t>
      </w:r>
      <w:r w:rsidR="005359EF">
        <w:rPr>
          <w:rFonts w:cs="Arial"/>
        </w:rPr>
        <w:t>v</w:t>
      </w:r>
      <w:r w:rsidR="004B6423">
        <w:rPr>
          <w:rFonts w:cs="Arial"/>
        </w:rPr>
        <w:t>er it is clear that th</w:t>
      </w:r>
      <w:r w:rsidR="0076327C">
        <w:rPr>
          <w:rFonts w:cs="Arial"/>
        </w:rPr>
        <w:t>e</w:t>
      </w:r>
      <w:r w:rsidR="004B6423">
        <w:rPr>
          <w:rFonts w:cs="Arial"/>
        </w:rPr>
        <w:t xml:space="preserve"> p</w:t>
      </w:r>
      <w:r w:rsidR="0076327C">
        <w:rPr>
          <w:rFonts w:cs="Arial"/>
        </w:rPr>
        <w:t>roposal</w:t>
      </w:r>
      <w:r w:rsidR="004B6423">
        <w:rPr>
          <w:rFonts w:cs="Arial"/>
        </w:rPr>
        <w:t xml:space="preserve"> will place additional pressures on the Council’s HRA which </w:t>
      </w:r>
      <w:r w:rsidR="0076327C">
        <w:rPr>
          <w:rFonts w:cs="Arial"/>
        </w:rPr>
        <w:t xml:space="preserve">will undermine the </w:t>
      </w:r>
      <w:r w:rsidR="004B6423">
        <w:rPr>
          <w:rFonts w:cs="Arial"/>
        </w:rPr>
        <w:t>HRA business plan.</w:t>
      </w:r>
    </w:p>
    <w:p w:rsidR="004B6423" w:rsidRPr="004B6423" w:rsidRDefault="004B6423" w:rsidP="004B6423">
      <w:pPr>
        <w:ind w:left="426"/>
        <w:rPr>
          <w:rFonts w:cs="Arial"/>
        </w:rPr>
      </w:pPr>
    </w:p>
    <w:p w:rsidR="004B6423" w:rsidRDefault="00D21BC1" w:rsidP="00D21BC1">
      <w:pPr>
        <w:ind w:left="360" w:hanging="360"/>
        <w:rPr>
          <w:rFonts w:cs="Arial"/>
        </w:rPr>
      </w:pPr>
      <w:r>
        <w:rPr>
          <w:rFonts w:cs="Arial"/>
        </w:rPr>
        <w:t>24</w:t>
      </w:r>
      <w:r>
        <w:rPr>
          <w:rFonts w:cs="Arial"/>
        </w:rPr>
        <w:tab/>
      </w:r>
      <w:r w:rsidR="004B6423">
        <w:rPr>
          <w:rFonts w:cs="Arial"/>
        </w:rPr>
        <w:t xml:space="preserve">All of these issues will </w:t>
      </w:r>
      <w:r w:rsidR="004B6423" w:rsidRPr="0099596B">
        <w:rPr>
          <w:rFonts w:cs="Arial"/>
        </w:rPr>
        <w:t>need to be picked up in the refresh of the M</w:t>
      </w:r>
      <w:r w:rsidR="004B6423">
        <w:rPr>
          <w:rFonts w:cs="Arial"/>
        </w:rPr>
        <w:t xml:space="preserve">edium Term Financial Strategy and the </w:t>
      </w:r>
      <w:r w:rsidR="004B6423" w:rsidRPr="0099596B">
        <w:rPr>
          <w:rFonts w:cs="Arial"/>
        </w:rPr>
        <w:t>HRA Business Plan.</w:t>
      </w:r>
    </w:p>
    <w:p w:rsidR="004B6423" w:rsidRDefault="004B6423" w:rsidP="004B6423">
      <w:pPr>
        <w:tabs>
          <w:tab w:val="left" w:pos="-180"/>
        </w:tabs>
        <w:rPr>
          <w:rFonts w:cs="Arial"/>
        </w:rPr>
      </w:pPr>
    </w:p>
    <w:p w:rsidR="004D79A4" w:rsidRDefault="004D79A4" w:rsidP="00607866">
      <w:pPr>
        <w:rPr>
          <w:rFonts w:cs="Arial"/>
        </w:rPr>
      </w:pPr>
    </w:p>
    <w:p w:rsidR="00692509" w:rsidRPr="007C6046" w:rsidRDefault="00692509" w:rsidP="00692509">
      <w:pPr>
        <w:rPr>
          <w:rFonts w:cs="Arial"/>
          <w:b/>
        </w:rPr>
      </w:pPr>
      <w:r>
        <w:rPr>
          <w:rFonts w:cs="Arial"/>
          <w:b/>
        </w:rPr>
        <w:t>Performance</w:t>
      </w:r>
    </w:p>
    <w:p w:rsidR="00230902" w:rsidRPr="006B6C43" w:rsidRDefault="00D21BC1" w:rsidP="00D21BC1">
      <w:pPr>
        <w:ind w:left="360" w:hanging="360"/>
        <w:rPr>
          <w:rFonts w:cs="Arial"/>
        </w:rPr>
      </w:pPr>
      <w:r>
        <w:rPr>
          <w:rFonts w:cs="Arial"/>
        </w:rPr>
        <w:t>25</w:t>
      </w:r>
      <w:r>
        <w:rPr>
          <w:rFonts w:cs="Arial"/>
        </w:rPr>
        <w:tab/>
      </w:r>
      <w:r w:rsidR="00692509" w:rsidRPr="006B6C43">
        <w:rPr>
          <w:rFonts w:cs="Arial"/>
        </w:rPr>
        <w:t xml:space="preserve">There were no red risks outstanding at the </w:t>
      </w:r>
      <w:r w:rsidR="006B6C43" w:rsidRPr="006B6C43">
        <w:rPr>
          <w:rFonts w:cs="Arial"/>
        </w:rPr>
        <w:t>year-end</w:t>
      </w:r>
      <w:r w:rsidR="00692509" w:rsidRPr="006B6C43">
        <w:rPr>
          <w:rFonts w:cs="Arial"/>
        </w:rPr>
        <w:t xml:space="preserve"> relating to 201</w:t>
      </w:r>
      <w:r w:rsidR="006B6C43" w:rsidRPr="006B6C43">
        <w:rPr>
          <w:rFonts w:cs="Arial"/>
        </w:rPr>
        <w:t>4</w:t>
      </w:r>
      <w:r w:rsidR="00692509" w:rsidRPr="006B6C43">
        <w:rPr>
          <w:rFonts w:cs="Arial"/>
        </w:rPr>
        <w:t>/1</w:t>
      </w:r>
      <w:r w:rsidR="006B6C43" w:rsidRPr="006B6C43">
        <w:rPr>
          <w:rFonts w:cs="Arial"/>
        </w:rPr>
        <w:t>5</w:t>
      </w:r>
      <w:r w:rsidR="00692509" w:rsidRPr="006B6C43">
        <w:rPr>
          <w:rFonts w:cs="Arial"/>
        </w:rPr>
        <w:t>.</w:t>
      </w:r>
    </w:p>
    <w:p w:rsidR="00230902" w:rsidRPr="00CE3DFC" w:rsidRDefault="00230902" w:rsidP="00692509">
      <w:pPr>
        <w:rPr>
          <w:rFonts w:cs="Arial"/>
        </w:rPr>
      </w:pPr>
    </w:p>
    <w:p w:rsidR="00692509" w:rsidRPr="00230902" w:rsidRDefault="00230902" w:rsidP="00692509">
      <w:pPr>
        <w:rPr>
          <w:rFonts w:cs="Arial"/>
          <w:b/>
        </w:rPr>
      </w:pPr>
      <w:r w:rsidRPr="00230902">
        <w:rPr>
          <w:rFonts w:cs="Arial"/>
          <w:b/>
        </w:rPr>
        <w:t>Risk</w:t>
      </w:r>
    </w:p>
    <w:p w:rsidR="00230902" w:rsidRPr="00230902" w:rsidRDefault="00D21BC1" w:rsidP="00D21BC1">
      <w:pPr>
        <w:ind w:left="360" w:hanging="360"/>
        <w:rPr>
          <w:rFonts w:cs="Arial"/>
        </w:rPr>
      </w:pPr>
      <w:r>
        <w:rPr>
          <w:rFonts w:cs="Arial"/>
        </w:rPr>
        <w:t>26</w:t>
      </w:r>
      <w:r>
        <w:rPr>
          <w:rFonts w:cs="Arial"/>
        </w:rPr>
        <w:tab/>
      </w:r>
      <w:r w:rsidR="00230902" w:rsidRPr="00230902">
        <w:rPr>
          <w:rFonts w:cs="Arial"/>
        </w:rPr>
        <w:t>Corporate and Directorate risks are reported within Appendices A to D.  Risks are measured according to the matrix shown below:</w:t>
      </w:r>
    </w:p>
    <w:p w:rsidR="00903458" w:rsidRDefault="00903458" w:rsidP="00607866">
      <w:pPr>
        <w:rPr>
          <w:rFonts w:cs="Arial"/>
        </w:rPr>
      </w:pPr>
    </w:p>
    <w:p w:rsidR="00230902" w:rsidRDefault="00230902" w:rsidP="00607866">
      <w:pPr>
        <w:rPr>
          <w:rFonts w:cs="Arial"/>
        </w:rPr>
      </w:pPr>
      <w:r>
        <w:rPr>
          <w:rFonts w:cs="Arial"/>
          <w:noProof/>
          <w:lang w:eastAsia="en-GB"/>
        </w:rPr>
        <w:drawing>
          <wp:inline distT="0" distB="0" distL="0" distR="0" wp14:anchorId="31FF0BA4" wp14:editId="206E6E11">
            <wp:extent cx="4380865" cy="22002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2200275"/>
                    </a:xfrm>
                    <a:prstGeom prst="rect">
                      <a:avLst/>
                    </a:prstGeom>
                    <a:noFill/>
                  </pic:spPr>
                </pic:pic>
              </a:graphicData>
            </a:graphic>
          </wp:inline>
        </w:drawing>
      </w:r>
    </w:p>
    <w:p w:rsidR="00692509" w:rsidRDefault="00692509" w:rsidP="00607866">
      <w:pPr>
        <w:rPr>
          <w:rFonts w:cs="Arial"/>
        </w:rPr>
      </w:pPr>
    </w:p>
    <w:p w:rsidR="00230902" w:rsidRPr="008225BA" w:rsidRDefault="00D21BC1" w:rsidP="00D21BC1">
      <w:pPr>
        <w:ind w:left="360" w:hanging="360"/>
        <w:rPr>
          <w:rFonts w:cs="Arial"/>
        </w:rPr>
      </w:pPr>
      <w:r>
        <w:rPr>
          <w:rFonts w:cs="Arial"/>
        </w:rPr>
        <w:t>27</w:t>
      </w:r>
      <w:r>
        <w:rPr>
          <w:rFonts w:cs="Arial"/>
        </w:rPr>
        <w:tab/>
      </w:r>
      <w:r w:rsidR="00230902" w:rsidRPr="008225BA">
        <w:rPr>
          <w:rFonts w:cs="Arial"/>
        </w:rPr>
        <w:t xml:space="preserve">There were no red Corporate Risks outstanding at the 2014/15 year end.  There are </w:t>
      </w:r>
      <w:r w:rsidR="008225BA" w:rsidRPr="008225BA">
        <w:rPr>
          <w:rFonts w:cs="Arial"/>
        </w:rPr>
        <w:t>5</w:t>
      </w:r>
      <w:r w:rsidR="00230902" w:rsidRPr="008225BA">
        <w:rPr>
          <w:rFonts w:cs="Arial"/>
        </w:rPr>
        <w:t xml:space="preserve"> amber Corporate Risks which are listed below with more detail contained in Appendix A:</w:t>
      </w:r>
    </w:p>
    <w:p w:rsidR="00230902" w:rsidRPr="008225BA" w:rsidRDefault="008225BA" w:rsidP="00230902">
      <w:pPr>
        <w:pStyle w:val="ListParagraph"/>
        <w:numPr>
          <w:ilvl w:val="0"/>
          <w:numId w:val="12"/>
        </w:numPr>
        <w:rPr>
          <w:rFonts w:cs="Arial"/>
        </w:rPr>
      </w:pPr>
      <w:r w:rsidRPr="008225BA">
        <w:rPr>
          <w:rFonts w:cs="Arial"/>
          <w:bCs/>
        </w:rPr>
        <w:t>Resilience of the Information and Communications Technology (ICT) function</w:t>
      </w:r>
    </w:p>
    <w:p w:rsidR="008225BA" w:rsidRPr="008225BA" w:rsidRDefault="008225BA" w:rsidP="00230902">
      <w:pPr>
        <w:pStyle w:val="ListParagraph"/>
        <w:numPr>
          <w:ilvl w:val="0"/>
          <w:numId w:val="12"/>
        </w:numPr>
        <w:rPr>
          <w:rFonts w:cs="Arial"/>
        </w:rPr>
      </w:pPr>
      <w:r w:rsidRPr="008225BA">
        <w:rPr>
          <w:rFonts w:cs="Arial"/>
          <w:bCs/>
        </w:rPr>
        <w:t>Management of capital projects and contracts</w:t>
      </w:r>
    </w:p>
    <w:p w:rsidR="008225BA" w:rsidRPr="008225BA" w:rsidRDefault="008225BA" w:rsidP="00230902">
      <w:pPr>
        <w:pStyle w:val="ListParagraph"/>
        <w:numPr>
          <w:ilvl w:val="0"/>
          <w:numId w:val="12"/>
        </w:numPr>
        <w:rPr>
          <w:rFonts w:cs="Arial"/>
        </w:rPr>
      </w:pPr>
      <w:r w:rsidRPr="008225BA">
        <w:rPr>
          <w:rFonts w:cs="Arial"/>
          <w:bCs/>
        </w:rPr>
        <w:t>Health &amp; Safety of People</w:t>
      </w:r>
    </w:p>
    <w:p w:rsidR="008225BA" w:rsidRPr="008225BA" w:rsidRDefault="008225BA" w:rsidP="00230902">
      <w:pPr>
        <w:pStyle w:val="ListParagraph"/>
        <w:numPr>
          <w:ilvl w:val="0"/>
          <w:numId w:val="12"/>
        </w:numPr>
        <w:rPr>
          <w:rFonts w:cs="Arial"/>
        </w:rPr>
      </w:pPr>
      <w:r w:rsidRPr="008225BA">
        <w:rPr>
          <w:rFonts w:cs="Arial"/>
          <w:bCs/>
        </w:rPr>
        <w:t>Risk of fraud against the Council</w:t>
      </w:r>
    </w:p>
    <w:p w:rsidR="008225BA" w:rsidRPr="00230902" w:rsidRDefault="008225BA" w:rsidP="00230902">
      <w:pPr>
        <w:pStyle w:val="ListParagraph"/>
        <w:numPr>
          <w:ilvl w:val="0"/>
          <w:numId w:val="12"/>
        </w:numPr>
        <w:rPr>
          <w:rFonts w:cs="Arial"/>
        </w:rPr>
      </w:pPr>
      <w:r w:rsidRPr="008225BA">
        <w:rPr>
          <w:rFonts w:cs="Arial"/>
          <w:bCs/>
        </w:rPr>
        <w:t>Risk of breaching the Data Protection Act</w:t>
      </w:r>
    </w:p>
    <w:p w:rsidR="00230902" w:rsidRDefault="00230902" w:rsidP="00607866">
      <w:pPr>
        <w:rPr>
          <w:rFonts w:cs="Arial"/>
        </w:rPr>
      </w:pPr>
    </w:p>
    <w:p w:rsidR="00445174" w:rsidRDefault="005044C6" w:rsidP="00445174">
      <w:pPr>
        <w:rPr>
          <w:rFonts w:cs="Arial"/>
          <w:b/>
        </w:rPr>
      </w:pPr>
      <w:r w:rsidRPr="005044C6">
        <w:rPr>
          <w:rFonts w:cs="Arial"/>
          <w:b/>
        </w:rPr>
        <w:t>Legal Implications</w:t>
      </w:r>
    </w:p>
    <w:p w:rsidR="005044C6" w:rsidRPr="006E1B35" w:rsidRDefault="00D21BC1" w:rsidP="00D21BC1">
      <w:pPr>
        <w:ind w:left="360" w:hanging="360"/>
        <w:rPr>
          <w:rFonts w:cs="Arial"/>
          <w:b/>
        </w:rPr>
      </w:pPr>
      <w:r>
        <w:rPr>
          <w:rFonts w:cs="Arial"/>
        </w:rPr>
        <w:lastRenderedPageBreak/>
        <w:t>28</w:t>
      </w:r>
      <w:r>
        <w:rPr>
          <w:rFonts w:cs="Arial"/>
        </w:rPr>
        <w:tab/>
      </w:r>
      <w:r w:rsidR="005044C6">
        <w:rPr>
          <w:rFonts w:cs="Arial"/>
        </w:rPr>
        <w:t>There are no legal implications directly relevant to this report.</w:t>
      </w:r>
    </w:p>
    <w:p w:rsidR="005D4C4D" w:rsidRDefault="005D4C4D" w:rsidP="005D4C4D">
      <w:pPr>
        <w:rPr>
          <w:sz w:val="20"/>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9F2D09">
            <w:pPr>
              <w:tabs>
                <w:tab w:val="left" w:pos="720"/>
                <w:tab w:val="left" w:pos="1440"/>
                <w:tab w:val="left" w:pos="2160"/>
                <w:tab w:val="left" w:pos="2880"/>
              </w:tabs>
            </w:pPr>
            <w:r>
              <w:t xml:space="preserve">Name:  </w:t>
            </w:r>
            <w:r w:rsidR="006E1B35">
              <w:t>Nigel Kennedy</w:t>
            </w:r>
          </w:p>
        </w:tc>
      </w:tr>
      <w:tr w:rsidR="005D4C4D">
        <w:trPr>
          <w:trHeight w:val="270"/>
        </w:trPr>
        <w:tc>
          <w:tcPr>
            <w:tcW w:w="9664" w:type="dxa"/>
          </w:tcPr>
          <w:p w:rsidR="005D4C4D" w:rsidRDefault="005D4C4D" w:rsidP="009F2D09">
            <w:pPr>
              <w:tabs>
                <w:tab w:val="left" w:pos="720"/>
                <w:tab w:val="left" w:pos="1440"/>
                <w:tab w:val="left" w:pos="2160"/>
                <w:tab w:val="left" w:pos="2880"/>
              </w:tabs>
            </w:pPr>
            <w:r>
              <w:t xml:space="preserve">Job title:  </w:t>
            </w:r>
            <w:r w:rsidR="006E1B35">
              <w:t>Head of Financ</w:t>
            </w:r>
            <w:r w:rsidR="009F2D09">
              <w:t>ial Services</w:t>
            </w:r>
          </w:p>
        </w:tc>
      </w:tr>
      <w:tr w:rsidR="005D4C4D">
        <w:trPr>
          <w:trHeight w:val="270"/>
        </w:trPr>
        <w:tc>
          <w:tcPr>
            <w:tcW w:w="9664" w:type="dxa"/>
          </w:tcPr>
          <w:p w:rsidR="005D4C4D" w:rsidRDefault="005D4C4D" w:rsidP="009F2D09">
            <w:pPr>
              <w:tabs>
                <w:tab w:val="left" w:pos="720"/>
                <w:tab w:val="left" w:pos="1440"/>
                <w:tab w:val="left" w:pos="2160"/>
                <w:tab w:val="left" w:pos="2880"/>
              </w:tabs>
            </w:pPr>
            <w:r>
              <w:t>Ser</w:t>
            </w:r>
            <w:r w:rsidR="009F2D09">
              <w:t>vice Area / Department:  Financial Services</w:t>
            </w:r>
          </w:p>
        </w:tc>
      </w:tr>
      <w:tr w:rsidR="005D4C4D" w:rsidRPr="00B7705C">
        <w:trPr>
          <w:trHeight w:val="570"/>
        </w:trPr>
        <w:tc>
          <w:tcPr>
            <w:tcW w:w="9664" w:type="dxa"/>
          </w:tcPr>
          <w:p w:rsidR="005D4C4D" w:rsidRPr="00B7705C" w:rsidRDefault="005D4C4D" w:rsidP="009F2D09">
            <w:pPr>
              <w:tabs>
                <w:tab w:val="left" w:pos="720"/>
                <w:tab w:val="left" w:pos="1440"/>
                <w:tab w:val="left" w:pos="2160"/>
                <w:tab w:val="left" w:pos="2880"/>
              </w:tabs>
              <w:rPr>
                <w:color w:val="0000FF"/>
                <w:u w:val="single"/>
                <w:lang w:val="de-DE"/>
              </w:rPr>
            </w:pPr>
            <w:r w:rsidRPr="00B7705C">
              <w:rPr>
                <w:lang w:val="de-DE"/>
              </w:rPr>
              <w:t>Tel:  01865 252</w:t>
            </w:r>
            <w:r w:rsidR="006E1B35">
              <w:rPr>
                <w:lang w:val="de-DE"/>
              </w:rPr>
              <w:t>708</w:t>
            </w:r>
            <w:r w:rsidRPr="00B7705C">
              <w:rPr>
                <w:lang w:val="de-DE"/>
              </w:rPr>
              <w:t xml:space="preserve">  e-mail:  </w:t>
            </w:r>
            <w:hyperlink r:id="rId12" w:history="1">
              <w:r w:rsidR="00330BE7" w:rsidRPr="00426D96">
                <w:rPr>
                  <w:rStyle w:val="Hyperlink"/>
                  <w:lang w:val="de-DE"/>
                </w:rPr>
                <w:t>nkennedy@oxford.gov.uk</w:t>
              </w:r>
            </w:hyperlink>
          </w:p>
        </w:tc>
      </w:tr>
    </w:tbl>
    <w:p w:rsidR="005D4C4D" w:rsidRPr="00B7705C" w:rsidRDefault="005D4C4D" w:rsidP="005D4C4D">
      <w:pPr>
        <w:rPr>
          <w:rFonts w:cs="Arial"/>
          <w:b/>
          <w:bCs/>
          <w:sz w:val="20"/>
          <w:lang w:val="de-DE"/>
        </w:rPr>
      </w:pPr>
    </w:p>
    <w:p w:rsidR="009B2ED0" w:rsidRDefault="009B2ED0">
      <w:bookmarkStart w:id="0" w:name="_GoBack"/>
      <w:bookmarkEnd w:id="0"/>
    </w:p>
    <w:sectPr w:rsidR="009B2ED0" w:rsidSect="001118F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07" w:rsidRDefault="00D90A07">
      <w:r>
        <w:separator/>
      </w:r>
    </w:p>
  </w:endnote>
  <w:endnote w:type="continuationSeparator" w:id="0">
    <w:p w:rsidR="00D90A07" w:rsidRDefault="00D9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07" w:rsidRDefault="00D90A07">
      <w:r>
        <w:separator/>
      </w:r>
    </w:p>
  </w:footnote>
  <w:footnote w:type="continuationSeparator" w:id="0">
    <w:p w:rsidR="00D90A07" w:rsidRDefault="00D9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E27663C0"/>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06F11"/>
    <w:multiLevelType w:val="hybridMultilevel"/>
    <w:tmpl w:val="55704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E13D5"/>
    <w:multiLevelType w:val="hybridMultilevel"/>
    <w:tmpl w:val="EB7205F6"/>
    <w:lvl w:ilvl="0" w:tplc="ECB2FC40">
      <w:start w:val="15"/>
      <w:numFmt w:val="decimal"/>
      <w:lvlText w:val="%1"/>
      <w:lvlJc w:val="left"/>
      <w:pPr>
        <w:ind w:left="574" w:hanging="432"/>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852367D"/>
    <w:multiLevelType w:val="hybridMultilevel"/>
    <w:tmpl w:val="5BA66B44"/>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4D74CEB"/>
    <w:multiLevelType w:val="hybridMultilevel"/>
    <w:tmpl w:val="12E64A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78C2D92"/>
    <w:multiLevelType w:val="hybridMultilevel"/>
    <w:tmpl w:val="E5882B02"/>
    <w:lvl w:ilvl="0" w:tplc="D5A2207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935A2"/>
    <w:multiLevelType w:val="hybridMultilevel"/>
    <w:tmpl w:val="4A22891C"/>
    <w:lvl w:ilvl="0" w:tplc="8200DAC4">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04B4992"/>
    <w:multiLevelType w:val="hybridMultilevel"/>
    <w:tmpl w:val="7F846274"/>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24961"/>
    <w:multiLevelType w:val="hybridMultilevel"/>
    <w:tmpl w:val="56380916"/>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F85AB1"/>
    <w:multiLevelType w:val="hybridMultilevel"/>
    <w:tmpl w:val="C666B5A4"/>
    <w:lvl w:ilvl="0" w:tplc="B57AB9E2">
      <w:start w:val="17"/>
      <w:numFmt w:val="decimal"/>
      <w:lvlText w:val="%1"/>
      <w:lvlJc w:val="left"/>
      <w:pPr>
        <w:ind w:left="858" w:hanging="4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F077B14"/>
    <w:multiLevelType w:val="hybridMultilevel"/>
    <w:tmpl w:val="E20805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2777294"/>
    <w:multiLevelType w:val="hybridMultilevel"/>
    <w:tmpl w:val="91DAC708"/>
    <w:lvl w:ilvl="0" w:tplc="3026A6C6">
      <w:start w:val="16"/>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2FE2513"/>
    <w:multiLevelType w:val="hybridMultilevel"/>
    <w:tmpl w:val="F4ECB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58BA219C"/>
    <w:multiLevelType w:val="hybridMultilevel"/>
    <w:tmpl w:val="19E862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D141D43"/>
    <w:multiLevelType w:val="hybridMultilevel"/>
    <w:tmpl w:val="2E26EDF0"/>
    <w:lvl w:ilvl="0" w:tplc="AE0C8D16">
      <w:start w:val="8"/>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3DE0985"/>
    <w:multiLevelType w:val="hybridMultilevel"/>
    <w:tmpl w:val="82BCF060"/>
    <w:lvl w:ilvl="0" w:tplc="77B6F8C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222137"/>
    <w:multiLevelType w:val="hybridMultilevel"/>
    <w:tmpl w:val="971C8FC2"/>
    <w:lvl w:ilvl="0" w:tplc="CE38B5D8">
      <w:start w:val="13"/>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B445DEF"/>
    <w:multiLevelType w:val="hybridMultilevel"/>
    <w:tmpl w:val="CF404860"/>
    <w:lvl w:ilvl="0" w:tplc="3A5643BC">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8A64E1"/>
    <w:multiLevelType w:val="hybridMultilevel"/>
    <w:tmpl w:val="508EC37C"/>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34642B"/>
    <w:multiLevelType w:val="hybridMultilevel"/>
    <w:tmpl w:val="444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9A3D19"/>
    <w:multiLevelType w:val="hybridMultilevel"/>
    <w:tmpl w:val="4EF68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DE3285"/>
    <w:multiLevelType w:val="hybridMultilevel"/>
    <w:tmpl w:val="88E4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8"/>
  </w:num>
  <w:num w:numId="5">
    <w:abstractNumId w:val="15"/>
  </w:num>
  <w:num w:numId="6">
    <w:abstractNumId w:val="23"/>
  </w:num>
  <w:num w:numId="7">
    <w:abstractNumId w:val="12"/>
  </w:num>
  <w:num w:numId="8">
    <w:abstractNumId w:val="7"/>
  </w:num>
  <w:num w:numId="9">
    <w:abstractNumId w:val="1"/>
  </w:num>
  <w:num w:numId="10">
    <w:abstractNumId w:val="4"/>
  </w:num>
  <w:num w:numId="11">
    <w:abstractNumId w:val="11"/>
  </w:num>
  <w:num w:numId="12">
    <w:abstractNumId w:val="8"/>
  </w:num>
  <w:num w:numId="13">
    <w:abstractNumId w:val="25"/>
  </w:num>
  <w:num w:numId="14">
    <w:abstractNumId w:val="24"/>
  </w:num>
  <w:num w:numId="15">
    <w:abstractNumId w:val="14"/>
  </w:num>
  <w:num w:numId="16">
    <w:abstractNumId w:val="19"/>
  </w:num>
  <w:num w:numId="17">
    <w:abstractNumId w:val="27"/>
  </w:num>
  <w:num w:numId="18">
    <w:abstractNumId w:val="21"/>
  </w:num>
  <w:num w:numId="19">
    <w:abstractNumId w:val="22"/>
  </w:num>
  <w:num w:numId="20">
    <w:abstractNumId w:val="10"/>
  </w:num>
  <w:num w:numId="21">
    <w:abstractNumId w:val="3"/>
  </w:num>
  <w:num w:numId="22">
    <w:abstractNumId w:val="16"/>
  </w:num>
  <w:num w:numId="23">
    <w:abstractNumId w:val="13"/>
  </w:num>
  <w:num w:numId="24">
    <w:abstractNumId w:val="20"/>
  </w:num>
  <w:num w:numId="25">
    <w:abstractNumId w:val="9"/>
  </w:num>
  <w:num w:numId="26">
    <w:abstractNumId w:val="26"/>
  </w:num>
  <w:num w:numId="27">
    <w:abstractNumId w:val="2"/>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5681"/>
    <w:rsid w:val="000150BE"/>
    <w:rsid w:val="000209F8"/>
    <w:rsid w:val="00022CD2"/>
    <w:rsid w:val="00035147"/>
    <w:rsid w:val="00035D3E"/>
    <w:rsid w:val="000372FD"/>
    <w:rsid w:val="00037810"/>
    <w:rsid w:val="000512FC"/>
    <w:rsid w:val="00064BF8"/>
    <w:rsid w:val="0007119E"/>
    <w:rsid w:val="000800A8"/>
    <w:rsid w:val="00083C8A"/>
    <w:rsid w:val="00090D15"/>
    <w:rsid w:val="000943BA"/>
    <w:rsid w:val="00097027"/>
    <w:rsid w:val="000A1F5E"/>
    <w:rsid w:val="000A2EF0"/>
    <w:rsid w:val="000A59AB"/>
    <w:rsid w:val="000A6EFA"/>
    <w:rsid w:val="000B2944"/>
    <w:rsid w:val="000C5C80"/>
    <w:rsid w:val="000C5DA1"/>
    <w:rsid w:val="000C61B2"/>
    <w:rsid w:val="000D1F17"/>
    <w:rsid w:val="000D32D5"/>
    <w:rsid w:val="000E4872"/>
    <w:rsid w:val="000F1622"/>
    <w:rsid w:val="000F1F36"/>
    <w:rsid w:val="000F4153"/>
    <w:rsid w:val="00105B32"/>
    <w:rsid w:val="001118F1"/>
    <w:rsid w:val="00116A1A"/>
    <w:rsid w:val="00123CDC"/>
    <w:rsid w:val="0013217E"/>
    <w:rsid w:val="001332FB"/>
    <w:rsid w:val="0013589B"/>
    <w:rsid w:val="001427A0"/>
    <w:rsid w:val="00161381"/>
    <w:rsid w:val="00182BE8"/>
    <w:rsid w:val="0018663D"/>
    <w:rsid w:val="001A0D94"/>
    <w:rsid w:val="001A59EF"/>
    <w:rsid w:val="001B71A6"/>
    <w:rsid w:val="001C2C32"/>
    <w:rsid w:val="001D1A03"/>
    <w:rsid w:val="001D1CE1"/>
    <w:rsid w:val="001D7CD8"/>
    <w:rsid w:val="001F236C"/>
    <w:rsid w:val="001F3FA7"/>
    <w:rsid w:val="00204166"/>
    <w:rsid w:val="00210798"/>
    <w:rsid w:val="0021359E"/>
    <w:rsid w:val="00217B95"/>
    <w:rsid w:val="00230902"/>
    <w:rsid w:val="00240250"/>
    <w:rsid w:val="00263649"/>
    <w:rsid w:val="00265840"/>
    <w:rsid w:val="0026668B"/>
    <w:rsid w:val="002730E7"/>
    <w:rsid w:val="002853B4"/>
    <w:rsid w:val="0028751D"/>
    <w:rsid w:val="002913F5"/>
    <w:rsid w:val="00293CF3"/>
    <w:rsid w:val="00294C46"/>
    <w:rsid w:val="002A465B"/>
    <w:rsid w:val="002B3272"/>
    <w:rsid w:val="002B3F3D"/>
    <w:rsid w:val="002B79FC"/>
    <w:rsid w:val="002D0CDF"/>
    <w:rsid w:val="002D3856"/>
    <w:rsid w:val="002E2A7E"/>
    <w:rsid w:val="002E69CB"/>
    <w:rsid w:val="002F1875"/>
    <w:rsid w:val="002F40E8"/>
    <w:rsid w:val="00310C5C"/>
    <w:rsid w:val="00315362"/>
    <w:rsid w:val="00330BE7"/>
    <w:rsid w:val="00332507"/>
    <w:rsid w:val="003325B6"/>
    <w:rsid w:val="0033385A"/>
    <w:rsid w:val="0033503E"/>
    <w:rsid w:val="00335660"/>
    <w:rsid w:val="0035451F"/>
    <w:rsid w:val="00354C82"/>
    <w:rsid w:val="003600EA"/>
    <w:rsid w:val="00367D46"/>
    <w:rsid w:val="00372049"/>
    <w:rsid w:val="003725E4"/>
    <w:rsid w:val="0037288A"/>
    <w:rsid w:val="00384F1A"/>
    <w:rsid w:val="00387A11"/>
    <w:rsid w:val="00390B9B"/>
    <w:rsid w:val="00397398"/>
    <w:rsid w:val="003A197C"/>
    <w:rsid w:val="003B022E"/>
    <w:rsid w:val="003B077C"/>
    <w:rsid w:val="003B7B73"/>
    <w:rsid w:val="003C24E9"/>
    <w:rsid w:val="003C712C"/>
    <w:rsid w:val="003D3A51"/>
    <w:rsid w:val="003D56EF"/>
    <w:rsid w:val="003E28CA"/>
    <w:rsid w:val="003F462C"/>
    <w:rsid w:val="00402651"/>
    <w:rsid w:val="00413E26"/>
    <w:rsid w:val="00417135"/>
    <w:rsid w:val="004258ED"/>
    <w:rsid w:val="004331BA"/>
    <w:rsid w:val="00435C74"/>
    <w:rsid w:val="00444E8B"/>
    <w:rsid w:val="00445174"/>
    <w:rsid w:val="0045464F"/>
    <w:rsid w:val="004563C8"/>
    <w:rsid w:val="004651DF"/>
    <w:rsid w:val="00472F74"/>
    <w:rsid w:val="00474485"/>
    <w:rsid w:val="00475F85"/>
    <w:rsid w:val="00491160"/>
    <w:rsid w:val="004935F2"/>
    <w:rsid w:val="004A5381"/>
    <w:rsid w:val="004A700B"/>
    <w:rsid w:val="004B0400"/>
    <w:rsid w:val="004B19A9"/>
    <w:rsid w:val="004B2C60"/>
    <w:rsid w:val="004B6423"/>
    <w:rsid w:val="004B77FC"/>
    <w:rsid w:val="004C6133"/>
    <w:rsid w:val="004D79A4"/>
    <w:rsid w:val="004F10FA"/>
    <w:rsid w:val="004F74DE"/>
    <w:rsid w:val="005044C6"/>
    <w:rsid w:val="005064F0"/>
    <w:rsid w:val="00516A5C"/>
    <w:rsid w:val="00523C31"/>
    <w:rsid w:val="00526E3B"/>
    <w:rsid w:val="00527607"/>
    <w:rsid w:val="00530F4A"/>
    <w:rsid w:val="00531F1E"/>
    <w:rsid w:val="005323C6"/>
    <w:rsid w:val="00533B94"/>
    <w:rsid w:val="005359EF"/>
    <w:rsid w:val="00536C64"/>
    <w:rsid w:val="00541DC1"/>
    <w:rsid w:val="00544648"/>
    <w:rsid w:val="00551191"/>
    <w:rsid w:val="0056210B"/>
    <w:rsid w:val="005917AE"/>
    <w:rsid w:val="005925B6"/>
    <w:rsid w:val="005976C4"/>
    <w:rsid w:val="005A664C"/>
    <w:rsid w:val="005B0232"/>
    <w:rsid w:val="005B2AF6"/>
    <w:rsid w:val="005D33C2"/>
    <w:rsid w:val="005D44A4"/>
    <w:rsid w:val="005D4C4D"/>
    <w:rsid w:val="005E0B00"/>
    <w:rsid w:val="005E7711"/>
    <w:rsid w:val="005F04EF"/>
    <w:rsid w:val="005F14EF"/>
    <w:rsid w:val="005F174D"/>
    <w:rsid w:val="005F4140"/>
    <w:rsid w:val="00601057"/>
    <w:rsid w:val="00603E8E"/>
    <w:rsid w:val="00607866"/>
    <w:rsid w:val="0061340A"/>
    <w:rsid w:val="00630BB2"/>
    <w:rsid w:val="00635911"/>
    <w:rsid w:val="0065305B"/>
    <w:rsid w:val="00654A79"/>
    <w:rsid w:val="00656E91"/>
    <w:rsid w:val="00662A0F"/>
    <w:rsid w:val="006651D3"/>
    <w:rsid w:val="00670340"/>
    <w:rsid w:val="00676008"/>
    <w:rsid w:val="00677B45"/>
    <w:rsid w:val="00682D25"/>
    <w:rsid w:val="0068485E"/>
    <w:rsid w:val="00687F6F"/>
    <w:rsid w:val="00692509"/>
    <w:rsid w:val="0069250F"/>
    <w:rsid w:val="00693ED6"/>
    <w:rsid w:val="006A5B5A"/>
    <w:rsid w:val="006B2096"/>
    <w:rsid w:val="006B467F"/>
    <w:rsid w:val="006B6534"/>
    <w:rsid w:val="006B6C43"/>
    <w:rsid w:val="006C24A9"/>
    <w:rsid w:val="006D645E"/>
    <w:rsid w:val="006E1B35"/>
    <w:rsid w:val="006E1B5A"/>
    <w:rsid w:val="006E1BC3"/>
    <w:rsid w:val="006E36F3"/>
    <w:rsid w:val="006E44BB"/>
    <w:rsid w:val="006E67C4"/>
    <w:rsid w:val="006F5910"/>
    <w:rsid w:val="00701D7D"/>
    <w:rsid w:val="00704730"/>
    <w:rsid w:val="007063A9"/>
    <w:rsid w:val="007070D0"/>
    <w:rsid w:val="00710466"/>
    <w:rsid w:val="007137F7"/>
    <w:rsid w:val="007154CE"/>
    <w:rsid w:val="007161D9"/>
    <w:rsid w:val="0072307E"/>
    <w:rsid w:val="00727179"/>
    <w:rsid w:val="00740F03"/>
    <w:rsid w:val="007427D4"/>
    <w:rsid w:val="0076327C"/>
    <w:rsid w:val="00764079"/>
    <w:rsid w:val="0077104B"/>
    <w:rsid w:val="00773961"/>
    <w:rsid w:val="00774E6C"/>
    <w:rsid w:val="00775A30"/>
    <w:rsid w:val="00777FC6"/>
    <w:rsid w:val="00786B95"/>
    <w:rsid w:val="007A68B2"/>
    <w:rsid w:val="007C1DC6"/>
    <w:rsid w:val="007C2277"/>
    <w:rsid w:val="007C2CCD"/>
    <w:rsid w:val="007C6046"/>
    <w:rsid w:val="007E1B08"/>
    <w:rsid w:val="007F1631"/>
    <w:rsid w:val="007F5BF2"/>
    <w:rsid w:val="0080618D"/>
    <w:rsid w:val="00807AE2"/>
    <w:rsid w:val="00814BB4"/>
    <w:rsid w:val="00814FBA"/>
    <w:rsid w:val="008225BA"/>
    <w:rsid w:val="0082449A"/>
    <w:rsid w:val="00824A81"/>
    <w:rsid w:val="008346CA"/>
    <w:rsid w:val="00834BCC"/>
    <w:rsid w:val="0083795F"/>
    <w:rsid w:val="008455D5"/>
    <w:rsid w:val="00846DC5"/>
    <w:rsid w:val="00851BB4"/>
    <w:rsid w:val="00864298"/>
    <w:rsid w:val="00867B5B"/>
    <w:rsid w:val="00871681"/>
    <w:rsid w:val="00895AE4"/>
    <w:rsid w:val="008A4353"/>
    <w:rsid w:val="008A5685"/>
    <w:rsid w:val="008B286F"/>
    <w:rsid w:val="008C1A0F"/>
    <w:rsid w:val="008C1BB8"/>
    <w:rsid w:val="008C4475"/>
    <w:rsid w:val="008C5C1C"/>
    <w:rsid w:val="008D3203"/>
    <w:rsid w:val="008D5BBE"/>
    <w:rsid w:val="008E001F"/>
    <w:rsid w:val="008E09D0"/>
    <w:rsid w:val="008F7B19"/>
    <w:rsid w:val="00900C7F"/>
    <w:rsid w:val="00903458"/>
    <w:rsid w:val="00903C3C"/>
    <w:rsid w:val="0091176F"/>
    <w:rsid w:val="00912361"/>
    <w:rsid w:val="009142E5"/>
    <w:rsid w:val="00922EBF"/>
    <w:rsid w:val="0092618C"/>
    <w:rsid w:val="00926E63"/>
    <w:rsid w:val="00934EA9"/>
    <w:rsid w:val="00951E4F"/>
    <w:rsid w:val="009538B4"/>
    <w:rsid w:val="00955A2E"/>
    <w:rsid w:val="009563A3"/>
    <w:rsid w:val="0096047C"/>
    <w:rsid w:val="0096633B"/>
    <w:rsid w:val="0096749E"/>
    <w:rsid w:val="00972FEF"/>
    <w:rsid w:val="0099596B"/>
    <w:rsid w:val="00995E4A"/>
    <w:rsid w:val="009A6C4D"/>
    <w:rsid w:val="009B2610"/>
    <w:rsid w:val="009B2ED0"/>
    <w:rsid w:val="009B3D3E"/>
    <w:rsid w:val="009C63A2"/>
    <w:rsid w:val="009D3912"/>
    <w:rsid w:val="009D3FFE"/>
    <w:rsid w:val="009E0AFD"/>
    <w:rsid w:val="009E34F6"/>
    <w:rsid w:val="009E6D5E"/>
    <w:rsid w:val="009F2D09"/>
    <w:rsid w:val="009F6875"/>
    <w:rsid w:val="00A01542"/>
    <w:rsid w:val="00A01D6B"/>
    <w:rsid w:val="00A04E24"/>
    <w:rsid w:val="00A06DE4"/>
    <w:rsid w:val="00A10B89"/>
    <w:rsid w:val="00A20074"/>
    <w:rsid w:val="00A21178"/>
    <w:rsid w:val="00A24256"/>
    <w:rsid w:val="00A27069"/>
    <w:rsid w:val="00A3538B"/>
    <w:rsid w:val="00A36D0D"/>
    <w:rsid w:val="00A378F0"/>
    <w:rsid w:val="00A4088F"/>
    <w:rsid w:val="00A45D10"/>
    <w:rsid w:val="00A47CCA"/>
    <w:rsid w:val="00A65250"/>
    <w:rsid w:val="00A7570E"/>
    <w:rsid w:val="00A840F5"/>
    <w:rsid w:val="00A97EDB"/>
    <w:rsid w:val="00AA055F"/>
    <w:rsid w:val="00AA5C80"/>
    <w:rsid w:val="00AB1A3D"/>
    <w:rsid w:val="00AB1B1F"/>
    <w:rsid w:val="00AC4B4B"/>
    <w:rsid w:val="00AD08CE"/>
    <w:rsid w:val="00AD0F68"/>
    <w:rsid w:val="00AE0538"/>
    <w:rsid w:val="00AE12E9"/>
    <w:rsid w:val="00AF08EC"/>
    <w:rsid w:val="00B10A93"/>
    <w:rsid w:val="00B10F8A"/>
    <w:rsid w:val="00B17F83"/>
    <w:rsid w:val="00B35F74"/>
    <w:rsid w:val="00B4694E"/>
    <w:rsid w:val="00B5509D"/>
    <w:rsid w:val="00B60D6F"/>
    <w:rsid w:val="00B64C35"/>
    <w:rsid w:val="00B706F6"/>
    <w:rsid w:val="00B72E67"/>
    <w:rsid w:val="00B72FD0"/>
    <w:rsid w:val="00B7705C"/>
    <w:rsid w:val="00B822CF"/>
    <w:rsid w:val="00B84406"/>
    <w:rsid w:val="00B92D4E"/>
    <w:rsid w:val="00BA0E6F"/>
    <w:rsid w:val="00BA385D"/>
    <w:rsid w:val="00BA646B"/>
    <w:rsid w:val="00BB77BA"/>
    <w:rsid w:val="00BC75F6"/>
    <w:rsid w:val="00BD2618"/>
    <w:rsid w:val="00BD2CF5"/>
    <w:rsid w:val="00BD2F94"/>
    <w:rsid w:val="00BE052E"/>
    <w:rsid w:val="00C0207D"/>
    <w:rsid w:val="00C045D2"/>
    <w:rsid w:val="00C1367B"/>
    <w:rsid w:val="00C13FA7"/>
    <w:rsid w:val="00C21B6C"/>
    <w:rsid w:val="00C26D2B"/>
    <w:rsid w:val="00C3282B"/>
    <w:rsid w:val="00C43016"/>
    <w:rsid w:val="00C5428A"/>
    <w:rsid w:val="00C56C4C"/>
    <w:rsid w:val="00C618BF"/>
    <w:rsid w:val="00C73655"/>
    <w:rsid w:val="00C75D40"/>
    <w:rsid w:val="00C769C9"/>
    <w:rsid w:val="00C84F7D"/>
    <w:rsid w:val="00C93F91"/>
    <w:rsid w:val="00C95B34"/>
    <w:rsid w:val="00CA1732"/>
    <w:rsid w:val="00CA467D"/>
    <w:rsid w:val="00CB09C1"/>
    <w:rsid w:val="00CC2F8A"/>
    <w:rsid w:val="00CC37F9"/>
    <w:rsid w:val="00CC5782"/>
    <w:rsid w:val="00CD0716"/>
    <w:rsid w:val="00CD4C5D"/>
    <w:rsid w:val="00CD5518"/>
    <w:rsid w:val="00CE3DFC"/>
    <w:rsid w:val="00CE5596"/>
    <w:rsid w:val="00CF6B23"/>
    <w:rsid w:val="00CF6FA6"/>
    <w:rsid w:val="00D04D45"/>
    <w:rsid w:val="00D1078F"/>
    <w:rsid w:val="00D21BC1"/>
    <w:rsid w:val="00D24733"/>
    <w:rsid w:val="00D3500F"/>
    <w:rsid w:val="00D44004"/>
    <w:rsid w:val="00D44BB0"/>
    <w:rsid w:val="00D46E89"/>
    <w:rsid w:val="00D5019E"/>
    <w:rsid w:val="00D52515"/>
    <w:rsid w:val="00D52D74"/>
    <w:rsid w:val="00D555A4"/>
    <w:rsid w:val="00D73706"/>
    <w:rsid w:val="00D74C9D"/>
    <w:rsid w:val="00D768F6"/>
    <w:rsid w:val="00D81943"/>
    <w:rsid w:val="00D90A07"/>
    <w:rsid w:val="00D90D6C"/>
    <w:rsid w:val="00D95A9A"/>
    <w:rsid w:val="00DA0D01"/>
    <w:rsid w:val="00DA2561"/>
    <w:rsid w:val="00DA5047"/>
    <w:rsid w:val="00DA67C6"/>
    <w:rsid w:val="00DB26C0"/>
    <w:rsid w:val="00DB3198"/>
    <w:rsid w:val="00DB6773"/>
    <w:rsid w:val="00DC4CD4"/>
    <w:rsid w:val="00DD64C0"/>
    <w:rsid w:val="00DE11B2"/>
    <w:rsid w:val="00DE2640"/>
    <w:rsid w:val="00DE45FB"/>
    <w:rsid w:val="00DE5CF6"/>
    <w:rsid w:val="00DF2670"/>
    <w:rsid w:val="00DF72E5"/>
    <w:rsid w:val="00DF735B"/>
    <w:rsid w:val="00E21168"/>
    <w:rsid w:val="00E273E7"/>
    <w:rsid w:val="00E302A3"/>
    <w:rsid w:val="00E30D73"/>
    <w:rsid w:val="00E34CB9"/>
    <w:rsid w:val="00E355D8"/>
    <w:rsid w:val="00E36718"/>
    <w:rsid w:val="00E406B1"/>
    <w:rsid w:val="00E44776"/>
    <w:rsid w:val="00E44D19"/>
    <w:rsid w:val="00E519E0"/>
    <w:rsid w:val="00E8558E"/>
    <w:rsid w:val="00E863EB"/>
    <w:rsid w:val="00E9419C"/>
    <w:rsid w:val="00E9623A"/>
    <w:rsid w:val="00EA4D64"/>
    <w:rsid w:val="00EA5E94"/>
    <w:rsid w:val="00EA6F85"/>
    <w:rsid w:val="00EB300C"/>
    <w:rsid w:val="00EC1C61"/>
    <w:rsid w:val="00ED2E19"/>
    <w:rsid w:val="00ED3C21"/>
    <w:rsid w:val="00ED7D23"/>
    <w:rsid w:val="00EF18E8"/>
    <w:rsid w:val="00EF1FDC"/>
    <w:rsid w:val="00EF7125"/>
    <w:rsid w:val="00F02608"/>
    <w:rsid w:val="00F0793A"/>
    <w:rsid w:val="00F13F3F"/>
    <w:rsid w:val="00F3031D"/>
    <w:rsid w:val="00F31074"/>
    <w:rsid w:val="00F42C47"/>
    <w:rsid w:val="00F65931"/>
    <w:rsid w:val="00F65A44"/>
    <w:rsid w:val="00F74CCF"/>
    <w:rsid w:val="00F75F74"/>
    <w:rsid w:val="00F932C4"/>
    <w:rsid w:val="00F973D6"/>
    <w:rsid w:val="00FA5461"/>
    <w:rsid w:val="00FA5881"/>
    <w:rsid w:val="00FB743D"/>
    <w:rsid w:val="00FC00BF"/>
    <w:rsid w:val="00FC5E67"/>
    <w:rsid w:val="00FD0777"/>
    <w:rsid w:val="00FD54EE"/>
    <w:rsid w:val="00FD555E"/>
    <w:rsid w:val="00FE49DE"/>
    <w:rsid w:val="00FE49E4"/>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96B"/>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96B"/>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ennedy@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51A2-B1AF-4FFC-8342-083ECF3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4522F24D</Template>
  <TotalTime>2</TotalTime>
  <Pages>8</Pages>
  <Words>2075</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13231</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catherine.phythian</cp:lastModifiedBy>
  <cp:revision>4</cp:revision>
  <cp:lastPrinted>2015-06-05T11:05:00Z</cp:lastPrinted>
  <dcterms:created xsi:type="dcterms:W3CDTF">2015-06-15T15:15:00Z</dcterms:created>
  <dcterms:modified xsi:type="dcterms:W3CDTF">2015-06-22T08:03:00Z</dcterms:modified>
</cp:coreProperties>
</file>